
<file path=[Content_Types].xml><?xml version="1.0" encoding="utf-8"?>
<Types xmlns="http://schemas.openxmlformats.org/package/2006/content-types">
  <Default Extension="xml" ContentType="application/xml"/>
  <Default Extension="jpeg" ContentType="image/jpeg"/>
  <Default Extension="JPG" ContentType="image/.jpg"/>
  <Default Extension="tiff" ContentType="image/tif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520" w:lineRule="exact"/>
        <w:rPr>
          <w:rFonts w:hint="eastAsia"/>
          <w:sz w:val="44"/>
        </w:rPr>
      </w:pP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方正小标宋简体" w:eastAsia="方正小标宋简体"/>
          <w:sz w:val="44"/>
          <w:szCs w:val="44"/>
          <w:lang w:eastAsia="zh-CN"/>
        </w:rPr>
      </w:pPr>
      <w:bookmarkStart w:id="0" w:name="标题"/>
      <w:bookmarkEnd w:id="0"/>
      <w:r>
        <w:rPr>
          <w:rFonts w:hint="eastAsia" w:ascii="方正小标宋简体" w:eastAsia="方正小标宋简体"/>
          <w:sz w:val="44"/>
          <w:szCs w:val="44"/>
          <w:lang w:eastAsia="zh-CN"/>
        </w:rPr>
        <w:t>内蒙古自治区人民政府办公厅关于印发</w:t>
      </w:r>
    </w:p>
    <w:p>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eastAsia" w:ascii="方正小标宋简体" w:eastAsia="方正小标宋简体"/>
          <w:sz w:val="44"/>
          <w:szCs w:val="44"/>
          <w:lang w:eastAsia="zh-CN"/>
        </w:rPr>
      </w:pPr>
      <w:r>
        <w:rPr>
          <w:rFonts w:hint="eastAsia" w:ascii="方正小标宋简体" w:eastAsia="方正小标宋简体"/>
          <w:sz w:val="44"/>
          <w:szCs w:val="44"/>
          <w:lang w:eastAsia="zh-CN"/>
        </w:rPr>
        <w:t>自治区湿地保护规划（2022—2030年）的通知</w:t>
      </w:r>
    </w:p>
    <w:p>
      <w:pPr>
        <w:pStyle w:val="2"/>
        <w:rPr>
          <w:rFonts w:hint="eastAsia"/>
          <w:b w:val="0"/>
          <w:bCs w:val="0"/>
          <w:lang w:eastAsia="zh-CN"/>
        </w:rPr>
      </w:pPr>
      <w:r>
        <w:rPr>
          <w:rFonts w:hint="eastAsia" w:ascii="仿宋_GB2312" w:hAnsi="华文仿宋" w:eastAsia="仿宋_GB2312"/>
          <w:b w:val="0"/>
          <w:bCs w:val="0"/>
          <w:sz w:val="32"/>
          <w:lang w:eastAsia="zh-CN"/>
        </w:rPr>
        <w:t>内政办发〔2023〕87号</w:t>
      </w:r>
    </w:p>
    <w:p>
      <w:pPr>
        <w:jc w:val="center"/>
        <w:rPr>
          <w:rFonts w:hint="eastAsia"/>
          <w:sz w:val="32"/>
          <w:szCs w:val="32"/>
        </w:rPr>
      </w:pPr>
    </w:p>
    <w:p>
      <w:pPr>
        <w:keepNext w:val="0"/>
        <w:keepLines w:val="0"/>
        <w:pageBreakBefore w:val="0"/>
        <w:widowControl w:val="0"/>
        <w:kinsoku/>
        <w:wordWrap/>
        <w:overflowPunct/>
        <w:topLinePunct w:val="0"/>
        <w:autoSpaceDE/>
        <w:autoSpaceDN/>
        <w:bidi w:val="0"/>
        <w:adjustRightInd/>
        <w:snapToGrid/>
        <w:spacing w:line="340" w:lineRule="exact"/>
        <w:textAlignment w:val="auto"/>
        <w:rPr>
          <w:rFonts w:hint="eastAsia" w:ascii="方正楷体_GBK" w:hAnsi="方正楷体_GBK" w:eastAsia="方正楷体_GBK" w:cs="方正楷体_GBK"/>
          <w:sz w:val="32"/>
          <w:szCs w:val="32"/>
          <w:lang w:val="en-US" w:eastAsia="zh-CN"/>
        </w:rPr>
      </w:pPr>
      <w:r>
        <w:rPr>
          <w:rFonts w:hint="eastAsia" w:ascii="方正楷体_GBK" w:hAnsi="方正楷体_GBK" w:eastAsia="方正楷体_GBK" w:cs="方正楷体_GBK"/>
          <w:sz w:val="32"/>
          <w:szCs w:val="32"/>
          <w:lang w:eastAsia="zh-CN"/>
        </w:rPr>
        <w:t>各盟行政公署、市人民政府，自治区各委、办、厅、局，各大企业、事业单位：</w:t>
      </w:r>
    </w:p>
    <w:p>
      <w:pPr>
        <w:keepNext w:val="0"/>
        <w:keepLines w:val="0"/>
        <w:pageBreakBefore w:val="0"/>
        <w:widowControl w:val="0"/>
        <w:kinsoku/>
        <w:wordWrap/>
        <w:overflowPunct/>
        <w:topLinePunct w:val="0"/>
        <w:autoSpaceDE/>
        <w:autoSpaceDN/>
        <w:bidi w:val="0"/>
        <w:adjustRightInd/>
        <w:snapToGrid/>
        <w:spacing w:line="340" w:lineRule="exact"/>
        <w:ind w:firstLine="640" w:firstLineChars="200"/>
        <w:textAlignment w:val="auto"/>
        <w:rPr>
          <w:rFonts w:hint="eastAsia" w:ascii="方正楷体_GBK" w:hAnsi="方正楷体_GBK" w:eastAsia="方正楷体_GBK" w:cs="方正楷体_GBK"/>
          <w:sz w:val="32"/>
          <w:szCs w:val="32"/>
          <w:lang w:val="en-US" w:eastAsia="zh-CN"/>
        </w:rPr>
      </w:pPr>
      <w:r>
        <w:rPr>
          <w:rFonts w:hint="eastAsia" w:ascii="方正楷体_GBK" w:hAnsi="方正楷体_GBK" w:eastAsia="方正楷体_GBK" w:cs="方正楷体_GBK"/>
          <w:sz w:val="32"/>
          <w:szCs w:val="32"/>
          <w:lang w:eastAsia="zh-CN"/>
        </w:rPr>
        <w:t>经自治区人民政府同意，现将《内蒙古自治区湿地保护规划（</w:t>
      </w:r>
      <w:r>
        <w:rPr>
          <w:rFonts w:hint="eastAsia" w:ascii="方正楷体_GBK" w:hAnsi="方正楷体_GBK" w:eastAsia="方正楷体_GBK" w:cs="方正楷体_GBK"/>
          <w:sz w:val="32"/>
          <w:szCs w:val="32"/>
          <w:lang w:val="en-US" w:eastAsia="zh-CN"/>
        </w:rPr>
        <w:t>2022—2030年）</w:t>
      </w:r>
      <w:r>
        <w:rPr>
          <w:rFonts w:hint="eastAsia" w:ascii="方正楷体_GBK" w:hAnsi="方正楷体_GBK" w:eastAsia="方正楷体_GBK" w:cs="方正楷体_GBK"/>
          <w:sz w:val="32"/>
          <w:szCs w:val="32"/>
          <w:lang w:eastAsia="zh-CN"/>
        </w:rPr>
        <w:t>》</w:t>
      </w:r>
      <w:r>
        <w:rPr>
          <w:rFonts w:hint="eastAsia" w:ascii="方正楷体_GBK" w:hAnsi="方正楷体_GBK" w:eastAsia="方正楷体_GBK" w:cs="方正楷体_GBK"/>
          <w:sz w:val="32"/>
          <w:szCs w:val="32"/>
          <w:lang w:val="en-US" w:eastAsia="zh-CN"/>
        </w:rPr>
        <w:t>印发给你们，请结合实际，认真贯彻落实。</w:t>
      </w:r>
    </w:p>
    <w:p>
      <w:pPr>
        <w:keepNext w:val="0"/>
        <w:keepLines w:val="0"/>
        <w:pageBreakBefore w:val="0"/>
        <w:widowControl w:val="0"/>
        <w:kinsoku/>
        <w:wordWrap/>
        <w:overflowPunct/>
        <w:topLinePunct/>
        <w:autoSpaceDE/>
        <w:autoSpaceDN/>
        <w:bidi w:val="0"/>
        <w:adjustRightInd/>
        <w:snapToGrid/>
        <w:spacing w:line="580" w:lineRule="exact"/>
        <w:ind w:firstLine="640" w:firstLineChars="200"/>
        <w:textAlignment w:val="auto"/>
        <w:rPr>
          <w:rFonts w:hint="eastAsia" w:ascii="方正楷体_GBK" w:hAnsi="方正楷体_GBK" w:eastAsia="方正楷体_GBK" w:cs="方正楷体_GBK"/>
          <w:sz w:val="32"/>
          <w:szCs w:val="32"/>
          <w:lang w:val="en-US" w:eastAsia="zh-CN"/>
        </w:rPr>
      </w:pPr>
    </w:p>
    <w:p>
      <w:pPr>
        <w:keepNext w:val="0"/>
        <w:keepLines w:val="0"/>
        <w:pageBreakBefore w:val="0"/>
        <w:widowControl w:val="0"/>
        <w:kinsoku/>
        <w:wordWrap/>
        <w:overflowPunct/>
        <w:autoSpaceDE/>
        <w:autoSpaceDN/>
        <w:bidi w:val="0"/>
        <w:adjustRightInd/>
        <w:snapToGrid/>
        <w:spacing w:line="580" w:lineRule="exact"/>
        <w:textAlignment w:val="auto"/>
        <w:rPr>
          <w:rFonts w:hint="eastAsia"/>
          <w:lang w:val="en-US" w:eastAsia="zh-CN"/>
        </w:rPr>
      </w:pPr>
    </w:p>
    <w:p>
      <w:pPr>
        <w:keepNext w:val="0"/>
        <w:keepLines w:val="0"/>
        <w:pageBreakBefore w:val="0"/>
        <w:widowControl w:val="0"/>
        <w:kinsoku/>
        <w:wordWrap/>
        <w:overflowPunct/>
        <w:topLinePunct/>
        <w:autoSpaceDE/>
        <w:autoSpaceDN/>
        <w:bidi w:val="0"/>
        <w:adjustRightInd/>
        <w:snapToGrid/>
        <w:spacing w:line="580" w:lineRule="exact"/>
        <w:textAlignment w:val="auto"/>
        <w:rPr>
          <w:rFonts w:hint="eastAsia"/>
          <w:lang w:val="en-US" w:eastAsia="zh-CN"/>
        </w:rPr>
      </w:pPr>
    </w:p>
    <w:p>
      <w:pPr>
        <w:keepNext w:val="0"/>
        <w:keepLines w:val="0"/>
        <w:pageBreakBefore w:val="0"/>
        <w:widowControl w:val="0"/>
        <w:kinsoku/>
        <w:wordWrap/>
        <w:overflowPunct/>
        <w:topLinePunct/>
        <w:autoSpaceDE/>
        <w:autoSpaceDN/>
        <w:bidi w:val="0"/>
        <w:adjustRightInd/>
        <w:snapToGrid/>
        <w:spacing w:line="580" w:lineRule="exact"/>
        <w:ind w:firstLine="640" w:firstLineChars="200"/>
        <w:textAlignment w:val="auto"/>
        <w:rPr>
          <w:rFonts w:hint="eastAsia" w:ascii="方正楷体_GBK" w:hAnsi="方正楷体_GBK" w:eastAsia="方正楷体_GBK" w:cs="方正楷体_GBK"/>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340" w:lineRule="exact"/>
        <w:ind w:firstLine="4800" w:firstLineChars="1500"/>
        <w:textAlignment w:val="auto"/>
        <w:rPr>
          <w:rFonts w:hint="eastAsia" w:ascii="方正楷体_GBK" w:hAnsi="方正楷体_GBK" w:eastAsia="方正楷体_GBK" w:cs="方正楷体_GBK"/>
          <w:sz w:val="32"/>
          <w:szCs w:val="32"/>
          <w:lang w:val="en-US" w:eastAsia="zh-CN"/>
        </w:rPr>
      </w:pPr>
      <w:r>
        <w:rPr>
          <w:rFonts w:hint="eastAsia" w:ascii="方正楷体_GBK" w:hAnsi="方正楷体_GBK" w:eastAsia="方正楷体_GBK" w:cs="方正楷体_GBK"/>
          <w:sz w:val="32"/>
          <w:szCs w:val="32"/>
          <w:lang w:val="en-US" w:eastAsia="zh-CN"/>
        </w:rPr>
        <w:t>2023年12月20日</w:t>
      </w:r>
    </w:p>
    <w:p>
      <w:pPr>
        <w:keepNext w:val="0"/>
        <w:keepLines w:val="0"/>
        <w:pageBreakBefore w:val="0"/>
        <w:widowControl w:val="0"/>
        <w:kinsoku/>
        <w:wordWrap/>
        <w:overflowPunct/>
        <w:topLinePunct w:val="0"/>
        <w:autoSpaceDE/>
        <w:autoSpaceDN/>
        <w:bidi w:val="0"/>
        <w:adjustRightInd/>
        <w:snapToGrid/>
        <w:spacing w:line="340" w:lineRule="exact"/>
        <w:ind w:firstLine="640" w:firstLineChars="200"/>
        <w:textAlignment w:val="auto"/>
        <w:rPr>
          <w:rFonts w:hint="eastAsia" w:ascii="方正楷体_GBK" w:hAnsi="方正楷体_GBK" w:eastAsia="方正楷体_GBK" w:cs="方正楷体_GBK"/>
          <w:sz w:val="32"/>
          <w:szCs w:val="32"/>
          <w:lang w:val="en-US" w:eastAsia="zh-CN"/>
        </w:rPr>
      </w:pPr>
      <w:r>
        <w:rPr>
          <w:rFonts w:hint="eastAsia" w:ascii="方正楷体_GBK" w:hAnsi="方正楷体_GBK" w:eastAsia="方正楷体_GBK" w:cs="方正楷体_GBK"/>
          <w:sz w:val="32"/>
          <w:szCs w:val="32"/>
          <w:lang w:val="en-US" w:eastAsia="zh-CN"/>
        </w:rPr>
        <w:t>（此件公开发布）</w:t>
      </w:r>
    </w:p>
    <w:p>
      <w:pPr>
        <w:pStyle w:val="2"/>
        <w:rPr>
          <w:rFonts w:hint="eastAsia" w:ascii="方正楷体_GBK" w:hAnsi="方正楷体_GBK" w:eastAsia="方正楷体_GBK" w:cs="方正楷体_GBK"/>
          <w:sz w:val="32"/>
          <w:szCs w:val="32"/>
          <w:lang w:val="en-US" w:eastAsia="zh-CN"/>
        </w:rPr>
      </w:pPr>
    </w:p>
    <w:p>
      <w:pPr>
        <w:rPr>
          <w:rFonts w:hint="eastAsia" w:ascii="方正楷体_GBK" w:hAnsi="方正楷体_GBK" w:eastAsia="方正楷体_GBK" w:cs="方正楷体_GBK"/>
          <w:sz w:val="32"/>
          <w:szCs w:val="32"/>
          <w:lang w:val="en-US" w:eastAsia="zh-CN"/>
        </w:rPr>
      </w:pPr>
    </w:p>
    <w:p>
      <w:pPr>
        <w:pStyle w:val="2"/>
        <w:rPr>
          <w:rFonts w:hint="eastAsia" w:ascii="方正楷体_GBK" w:hAnsi="方正楷体_GBK" w:eastAsia="方正楷体_GBK" w:cs="方正楷体_GBK"/>
          <w:sz w:val="32"/>
          <w:szCs w:val="32"/>
          <w:lang w:val="en-US" w:eastAsia="zh-CN"/>
        </w:rPr>
      </w:pPr>
    </w:p>
    <w:p>
      <w:pPr>
        <w:rPr>
          <w:rFonts w:hint="eastAsia" w:ascii="方正楷体_GBK" w:hAnsi="方正楷体_GBK" w:eastAsia="方正楷体_GBK" w:cs="方正楷体_GBK"/>
          <w:sz w:val="32"/>
          <w:szCs w:val="32"/>
          <w:lang w:val="en-US" w:eastAsia="zh-CN"/>
        </w:rPr>
      </w:pPr>
    </w:p>
    <w:p>
      <w:pPr>
        <w:pStyle w:val="2"/>
        <w:rPr>
          <w:rFonts w:hint="eastAsia" w:ascii="方正楷体_GBK" w:hAnsi="方正楷体_GBK" w:eastAsia="方正楷体_GBK" w:cs="方正楷体_GBK"/>
          <w:sz w:val="32"/>
          <w:szCs w:val="32"/>
          <w:lang w:val="en-US" w:eastAsia="zh-CN"/>
        </w:rPr>
      </w:pPr>
    </w:p>
    <w:p>
      <w:pPr>
        <w:rPr>
          <w:rFonts w:hint="eastAsia"/>
        </w:rPr>
      </w:pPr>
    </w:p>
    <w:p>
      <w:pPr>
        <w:keepNext w:val="0"/>
        <w:keepLines w:val="0"/>
        <w:pageBreakBefore w:val="0"/>
        <w:widowControl w:val="0"/>
        <w:kinsoku/>
        <w:wordWrap/>
        <w:overflowPunct/>
        <w:topLinePunct w:val="0"/>
        <w:autoSpaceDE/>
        <w:autoSpaceDN/>
        <w:bidi w:val="0"/>
        <w:adjustRightInd/>
        <w:spacing w:line="580" w:lineRule="exact"/>
        <w:ind w:firstLine="0" w:firstLineChars="0"/>
        <w:jc w:val="center"/>
        <w:textAlignment w:val="auto"/>
        <w:rPr>
          <w:rFonts w:hint="eastAsia" w:ascii="华文中宋" w:hAnsi="华文中宋" w:eastAsia="华文中宋" w:cs="华文中宋"/>
          <w:b/>
          <w:bCs/>
          <w:sz w:val="52"/>
          <w:szCs w:val="52"/>
        </w:rPr>
      </w:pPr>
    </w:p>
    <w:p>
      <w:pPr>
        <w:keepNext w:val="0"/>
        <w:keepLines w:val="0"/>
        <w:pageBreakBefore w:val="0"/>
        <w:widowControl w:val="0"/>
        <w:kinsoku/>
        <w:wordWrap/>
        <w:overflowPunct/>
        <w:topLinePunct w:val="0"/>
        <w:autoSpaceDE/>
        <w:autoSpaceDN/>
        <w:bidi w:val="0"/>
        <w:adjustRightInd/>
        <w:spacing w:line="580" w:lineRule="exact"/>
        <w:jc w:val="center"/>
        <w:textAlignment w:val="auto"/>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内蒙古自治区湿地保护规划</w:t>
      </w:r>
    </w:p>
    <w:p>
      <w:pPr>
        <w:keepNext w:val="0"/>
        <w:keepLines w:val="0"/>
        <w:pageBreakBefore w:val="0"/>
        <w:widowControl w:val="0"/>
        <w:kinsoku/>
        <w:wordWrap/>
        <w:overflowPunct/>
        <w:topLinePunct w:val="0"/>
        <w:autoSpaceDE/>
        <w:autoSpaceDN/>
        <w:bidi w:val="0"/>
        <w:adjustRightInd/>
        <w:spacing w:line="580" w:lineRule="exact"/>
        <w:jc w:val="center"/>
        <w:textAlignment w:val="auto"/>
        <w:rPr>
          <w:rFonts w:hint="eastAsia" w:ascii="方正小标宋_GBK" w:hAnsi="方正小标宋_GBK" w:eastAsia="方正小标宋_GBK" w:cs="方正小标宋_GBK"/>
          <w:sz w:val="44"/>
          <w:szCs w:val="44"/>
        </w:rPr>
      </w:pPr>
      <w:r>
        <w:rPr>
          <w:rFonts w:hint="eastAsia" w:ascii="方正小标宋_GBK" w:hAnsi="方正小标宋_GBK" w:eastAsia="方正小标宋_GBK" w:cs="方正小标宋_GBK"/>
          <w:sz w:val="44"/>
          <w:szCs w:val="44"/>
        </w:rPr>
        <w:t>（2022</w:t>
      </w:r>
      <w:r>
        <w:rPr>
          <w:rFonts w:hint="eastAsia" w:ascii="方正小标宋_GBK" w:hAnsi="方正小标宋_GBK" w:eastAsia="方正小标宋_GBK" w:cs="方正小标宋_GBK"/>
          <w:sz w:val="44"/>
          <w:szCs w:val="44"/>
          <w:lang w:eastAsia="zh-CN"/>
        </w:rPr>
        <w:t>—</w:t>
      </w:r>
      <w:r>
        <w:rPr>
          <w:rFonts w:hint="eastAsia" w:ascii="方正小标宋_GBK" w:hAnsi="方正小标宋_GBK" w:eastAsia="方正小标宋_GBK" w:cs="方正小标宋_GBK"/>
          <w:sz w:val="44"/>
          <w:szCs w:val="44"/>
        </w:rPr>
        <w:t>2030年）</w:t>
      </w:r>
      <w:bookmarkStart w:id="1" w:name="_Toc72153945"/>
      <w:bookmarkStart w:id="2" w:name="_Toc72315322"/>
      <w:bookmarkStart w:id="3" w:name="_Toc143161963"/>
      <w:bookmarkStart w:id="4" w:name="_Toc149727776"/>
      <w:bookmarkStart w:id="5" w:name="_Toc67669358"/>
      <w:bookmarkStart w:id="6" w:name="_Toc714"/>
      <w:bookmarkStart w:id="7" w:name="_Toc148709907"/>
      <w:bookmarkStart w:id="8" w:name="_Toc65856024"/>
      <w:bookmarkStart w:id="9" w:name="_Toc72923268"/>
    </w:p>
    <w:p>
      <w:pPr>
        <w:keepNext w:val="0"/>
        <w:keepLines w:val="0"/>
        <w:pageBreakBefore w:val="0"/>
        <w:widowControl w:val="0"/>
        <w:kinsoku/>
        <w:wordWrap/>
        <w:overflowPunct/>
        <w:topLinePunct w:val="0"/>
        <w:autoSpaceDE/>
        <w:autoSpaceDN/>
        <w:bidi w:val="0"/>
        <w:adjustRightInd/>
        <w:spacing w:line="580" w:lineRule="exact"/>
        <w:ind w:firstLine="0" w:firstLineChars="0"/>
        <w:jc w:val="center"/>
        <w:textAlignment w:val="auto"/>
        <w:rPr>
          <w:rFonts w:hint="eastAsia" w:ascii="方正黑体_GBK" w:hAnsi="方正黑体_GBK" w:eastAsia="方正黑体_GBK" w:cs="方正黑体_GBK"/>
          <w:b w:val="0"/>
          <w:bCs w:val="0"/>
          <w:sz w:val="32"/>
          <w:szCs w:val="32"/>
          <w:lang w:eastAsia="zh-CN"/>
        </w:rPr>
      </w:pPr>
    </w:p>
    <w:p>
      <w:pPr>
        <w:keepNext w:val="0"/>
        <w:keepLines w:val="0"/>
        <w:pageBreakBefore w:val="0"/>
        <w:widowControl w:val="0"/>
        <w:kinsoku/>
        <w:wordWrap/>
        <w:overflowPunct/>
        <w:topLinePunct w:val="0"/>
        <w:autoSpaceDE/>
        <w:autoSpaceDN/>
        <w:bidi w:val="0"/>
        <w:adjustRightInd/>
        <w:spacing w:line="580" w:lineRule="exact"/>
        <w:ind w:firstLine="0" w:firstLineChars="0"/>
        <w:jc w:val="center"/>
        <w:textAlignment w:val="auto"/>
        <w:rPr>
          <w:rFonts w:hint="eastAsia" w:ascii="方正仿宋_GBK" w:hAnsi="方正仿宋_GBK" w:eastAsia="方正仿宋_GBK" w:cs="方正仿宋_GBK"/>
          <w:color w:val="auto"/>
          <w:sz w:val="32"/>
          <w:szCs w:val="32"/>
        </w:rPr>
      </w:pPr>
      <w:r>
        <w:rPr>
          <w:rFonts w:hint="eastAsia" w:ascii="方正黑体_GBK" w:hAnsi="方正黑体_GBK" w:eastAsia="方正黑体_GBK" w:cs="方正黑体_GBK"/>
          <w:b w:val="0"/>
          <w:bCs w:val="0"/>
          <w:sz w:val="32"/>
          <w:szCs w:val="32"/>
          <w:lang w:eastAsia="zh-CN"/>
        </w:rPr>
        <w:t>目</w:t>
      </w:r>
      <w:r>
        <w:rPr>
          <w:rFonts w:hint="eastAsia" w:ascii="方正黑体_GBK" w:hAnsi="方正黑体_GBK" w:eastAsia="方正黑体_GBK" w:cs="方正黑体_GBK"/>
          <w:b w:val="0"/>
          <w:bCs w:val="0"/>
          <w:color w:val="auto"/>
          <w:sz w:val="32"/>
          <w:szCs w:val="32"/>
          <w:lang w:val="en-US" w:eastAsia="zh-CN"/>
        </w:rPr>
        <w:t xml:space="preserve">    </w:t>
      </w:r>
      <w:r>
        <w:rPr>
          <w:rFonts w:hint="eastAsia" w:ascii="方正黑体_GBK" w:hAnsi="方正黑体_GBK" w:eastAsia="方正黑体_GBK" w:cs="方正黑体_GBK"/>
          <w:b w:val="0"/>
          <w:bCs w:val="0"/>
          <w:color w:val="auto"/>
          <w:sz w:val="32"/>
          <w:szCs w:val="32"/>
        </w:rPr>
        <w:t>录</w:t>
      </w:r>
      <w:bookmarkEnd w:id="1"/>
      <w:bookmarkEnd w:id="2"/>
      <w:bookmarkEnd w:id="3"/>
      <w:bookmarkEnd w:id="4"/>
      <w:bookmarkEnd w:id="5"/>
      <w:bookmarkEnd w:id="6"/>
      <w:bookmarkEnd w:id="7"/>
      <w:bookmarkEnd w:id="8"/>
      <w:bookmarkEnd w:id="9"/>
      <w:r>
        <w:rPr>
          <w:rFonts w:hint="eastAsia" w:ascii="方正仿宋_GBK" w:hAnsi="方正仿宋_GBK" w:eastAsia="方正仿宋_GBK" w:cs="方正仿宋_GBK"/>
          <w:color w:val="auto"/>
          <w:sz w:val="32"/>
          <w:szCs w:val="32"/>
        </w:rPr>
        <w:fldChar w:fldCharType="begin"/>
      </w:r>
      <w:r>
        <w:rPr>
          <w:rFonts w:hint="eastAsia" w:ascii="方正仿宋_GBK" w:hAnsi="方正仿宋_GBK" w:eastAsia="方正仿宋_GBK" w:cs="方正仿宋_GBK"/>
          <w:color w:val="auto"/>
          <w:sz w:val="32"/>
          <w:szCs w:val="32"/>
        </w:rPr>
        <w:instrText xml:space="preserve"> TOC \o "1-2" \u </w:instrText>
      </w:r>
      <w:r>
        <w:rPr>
          <w:rFonts w:hint="eastAsia" w:ascii="方正仿宋_GBK" w:hAnsi="方正仿宋_GBK" w:eastAsia="方正仿宋_GBK" w:cs="方正仿宋_GBK"/>
          <w:color w:val="auto"/>
          <w:sz w:val="32"/>
          <w:szCs w:val="32"/>
        </w:rPr>
        <w:fldChar w:fldCharType="separate"/>
      </w:r>
    </w:p>
    <w:p>
      <w:pPr>
        <w:pStyle w:val="20"/>
        <w:keepNext w:val="0"/>
        <w:keepLines w:val="0"/>
        <w:pageBreakBefore w:val="0"/>
        <w:widowControl w:val="0"/>
        <w:kinsoku/>
        <w:wordWrap/>
        <w:overflowPunct/>
        <w:topLinePunct w:val="0"/>
        <w:autoSpaceDE/>
        <w:autoSpaceDN/>
        <w:bidi w:val="0"/>
        <w:adjustRightInd/>
        <w:spacing w:before="0" w:after="0" w:line="580" w:lineRule="exact"/>
        <w:textAlignment w:val="auto"/>
        <w:rPr>
          <w:rFonts w:hint="eastAsia" w:ascii="方正仿宋_GBK" w:hAnsi="方正仿宋_GBK" w:eastAsia="方正仿宋_GBK" w:cs="方正仿宋_GBK"/>
          <w:b w:val="0"/>
          <w:bCs w:val="0"/>
          <w:color w:val="auto"/>
          <w:sz w:val="32"/>
          <w:szCs w:val="32"/>
        </w:rPr>
      </w:pPr>
    </w:p>
    <w:p>
      <w:pPr>
        <w:pStyle w:val="20"/>
        <w:keepNext w:val="0"/>
        <w:keepLines w:val="0"/>
        <w:pageBreakBefore w:val="0"/>
        <w:widowControl w:val="0"/>
        <w:kinsoku/>
        <w:wordWrap/>
        <w:overflowPunct/>
        <w:topLinePunct w:val="0"/>
        <w:autoSpaceDE/>
        <w:autoSpaceDN/>
        <w:bidi w:val="0"/>
        <w:adjustRightInd/>
        <w:snapToGrid w:val="0"/>
        <w:spacing w:before="0" w:after="0" w:line="580" w:lineRule="exact"/>
        <w:ind w:firstLine="640" w:firstLineChars="200"/>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第一章</w:t>
      </w:r>
      <w:r>
        <w:rPr>
          <w:rFonts w:hint="eastAsia" w:ascii="方正仿宋_GBK" w:hAnsi="方正仿宋_GBK" w:eastAsia="方正仿宋_GBK" w:cs="方正仿宋_GBK"/>
          <w:b w:val="0"/>
          <w:bCs w:val="0"/>
          <w:color w:val="auto"/>
          <w:sz w:val="32"/>
          <w:szCs w:val="32"/>
          <w:lang w:val="en-US" w:eastAsia="zh-CN"/>
        </w:rPr>
        <w:t xml:space="preserve">  </w:t>
      </w:r>
      <w:r>
        <w:rPr>
          <w:rFonts w:hint="eastAsia" w:ascii="方正仿宋_GBK" w:hAnsi="方正仿宋_GBK" w:eastAsia="方正仿宋_GBK" w:cs="方正仿宋_GBK"/>
          <w:b w:val="0"/>
          <w:bCs w:val="0"/>
          <w:color w:val="auto"/>
          <w:sz w:val="32"/>
          <w:szCs w:val="32"/>
        </w:rPr>
        <w:t>基本情况</w:t>
      </w:r>
    </w:p>
    <w:p>
      <w:pPr>
        <w:pStyle w:val="24"/>
        <w:keepNext w:val="0"/>
        <w:keepLines w:val="0"/>
        <w:pageBreakBefore w:val="0"/>
        <w:widowControl w:val="0"/>
        <w:kinsoku/>
        <w:wordWrap/>
        <w:overflowPunct/>
        <w:topLinePunct w:val="0"/>
        <w:autoSpaceDE/>
        <w:autoSpaceDN/>
        <w:bidi w:val="0"/>
        <w:adjustRightInd/>
        <w:snapToGrid w:val="0"/>
        <w:spacing w:line="580" w:lineRule="exact"/>
        <w:ind w:firstLine="995" w:firstLineChars="311"/>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第一节</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内蒙古自治区湿地类型及分布特点</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第二节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内蒙古自治区湿地保护建设情况</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第三节</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 xml:space="preserve"> 内蒙古自治区湿地保护挑战与机遇</w:t>
      </w:r>
    </w:p>
    <w:p>
      <w:pPr>
        <w:pStyle w:val="20"/>
        <w:keepNext w:val="0"/>
        <w:keepLines w:val="0"/>
        <w:pageBreakBefore w:val="0"/>
        <w:widowControl w:val="0"/>
        <w:kinsoku/>
        <w:wordWrap/>
        <w:overflowPunct/>
        <w:topLinePunct w:val="0"/>
        <w:autoSpaceDE/>
        <w:autoSpaceDN/>
        <w:bidi w:val="0"/>
        <w:adjustRightInd/>
        <w:snapToGrid w:val="0"/>
        <w:spacing w:before="0" w:after="0" w:line="580" w:lineRule="exact"/>
        <w:ind w:firstLine="640" w:firstLineChars="200"/>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第二章  总体要求</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第一节</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 xml:space="preserve"> 指导思想</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第二节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基本原则</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第三节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规划目标</w:t>
      </w:r>
    </w:p>
    <w:p>
      <w:pPr>
        <w:pStyle w:val="20"/>
        <w:keepNext w:val="0"/>
        <w:keepLines w:val="0"/>
        <w:pageBreakBefore w:val="0"/>
        <w:widowControl w:val="0"/>
        <w:kinsoku/>
        <w:wordWrap/>
        <w:overflowPunct/>
        <w:topLinePunct w:val="0"/>
        <w:autoSpaceDE/>
        <w:autoSpaceDN/>
        <w:bidi w:val="0"/>
        <w:adjustRightInd/>
        <w:snapToGrid w:val="0"/>
        <w:spacing w:before="0" w:after="0" w:line="580" w:lineRule="exact"/>
        <w:ind w:firstLine="640" w:firstLineChars="200"/>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第三章  空间布局</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第一节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嫩江与额尔古纳河湿地生态保护恢复区</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第二节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西辽河湿地生态保护修复区</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第三节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滦河与永定河湿地生态保护区</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第四节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黄河湿地重点生态区</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第五节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内流河湿地生态保护修复区</w:t>
      </w:r>
    </w:p>
    <w:p>
      <w:pPr>
        <w:pStyle w:val="20"/>
        <w:keepNext w:val="0"/>
        <w:keepLines w:val="0"/>
        <w:pageBreakBefore w:val="0"/>
        <w:widowControl w:val="0"/>
        <w:kinsoku/>
        <w:wordWrap/>
        <w:overflowPunct/>
        <w:topLinePunct w:val="0"/>
        <w:autoSpaceDE/>
        <w:autoSpaceDN/>
        <w:bidi w:val="0"/>
        <w:adjustRightInd/>
        <w:snapToGrid w:val="0"/>
        <w:spacing w:before="0" w:after="0" w:line="580" w:lineRule="exact"/>
        <w:ind w:firstLine="640" w:firstLineChars="200"/>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第四章  重点任务</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第一节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实行湿地面积总量管控</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第二节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落实湿地分级管理体系</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第三节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完善湿地保护管理体系</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第四节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实施保护修复工程</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第五节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湿地可持续利用示范</w:t>
      </w:r>
    </w:p>
    <w:p>
      <w:pPr>
        <w:pStyle w:val="20"/>
        <w:keepNext w:val="0"/>
        <w:keepLines w:val="0"/>
        <w:pageBreakBefore w:val="0"/>
        <w:widowControl w:val="0"/>
        <w:kinsoku/>
        <w:wordWrap/>
        <w:overflowPunct/>
        <w:topLinePunct w:val="0"/>
        <w:autoSpaceDE/>
        <w:autoSpaceDN/>
        <w:bidi w:val="0"/>
        <w:adjustRightInd/>
        <w:snapToGrid w:val="0"/>
        <w:spacing w:before="0" w:after="0" w:line="580" w:lineRule="exact"/>
        <w:ind w:firstLine="640" w:firstLineChars="200"/>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第五章  保障措施</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第一节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加强组织领导</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第二节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强化制度建设</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第三节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加大政策支持</w:t>
      </w:r>
    </w:p>
    <w:p>
      <w:pPr>
        <w:pStyle w:val="24"/>
        <w:keepNext w:val="0"/>
        <w:keepLines w:val="0"/>
        <w:pageBreakBefore w:val="0"/>
        <w:widowControl w:val="0"/>
        <w:kinsoku/>
        <w:wordWrap/>
        <w:overflowPunct/>
        <w:topLinePunct w:val="0"/>
        <w:autoSpaceDE/>
        <w:autoSpaceDN/>
        <w:bidi w:val="0"/>
        <w:adjustRightInd/>
        <w:snapToGrid w:val="0"/>
        <w:spacing w:line="580" w:lineRule="exact"/>
        <w:ind w:left="0" w:leftChars="0" w:firstLine="960" w:firstLineChars="3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 xml:space="preserve">第四节 </w:t>
      </w:r>
      <w:r>
        <w:rPr>
          <w:rFonts w:hint="eastAsia" w:ascii="方正仿宋_GBK" w:hAnsi="方正仿宋_GBK" w:eastAsia="方正仿宋_GBK" w:cs="方正仿宋_GBK"/>
          <w:color w:val="auto"/>
          <w:sz w:val="32"/>
          <w:szCs w:val="32"/>
          <w:lang w:val="en-US" w:eastAsia="zh-CN"/>
        </w:rPr>
        <w:t xml:space="preserve"> </w:t>
      </w:r>
      <w:r>
        <w:rPr>
          <w:rFonts w:hint="eastAsia" w:ascii="方正仿宋_GBK" w:hAnsi="方正仿宋_GBK" w:eastAsia="方正仿宋_GBK" w:cs="方正仿宋_GBK"/>
          <w:color w:val="auto"/>
          <w:sz w:val="32"/>
          <w:szCs w:val="32"/>
        </w:rPr>
        <w:t>营造良好社会氛围</w:t>
      </w:r>
    </w:p>
    <w:p>
      <w:pPr>
        <w:pStyle w:val="20"/>
        <w:keepNext w:val="0"/>
        <w:keepLines w:val="0"/>
        <w:pageBreakBefore w:val="0"/>
        <w:widowControl w:val="0"/>
        <w:kinsoku/>
        <w:wordWrap/>
        <w:overflowPunct/>
        <w:topLinePunct w:val="0"/>
        <w:autoSpaceDE/>
        <w:autoSpaceDN/>
        <w:bidi w:val="0"/>
        <w:adjustRightInd/>
        <w:spacing w:before="0" w:after="0" w:line="580" w:lineRule="exact"/>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fldChar w:fldCharType="end"/>
      </w:r>
    </w:p>
    <w:p>
      <w:pPr>
        <w:keepNext w:val="0"/>
        <w:keepLines w:val="0"/>
        <w:pageBreakBefore w:val="0"/>
        <w:widowControl w:val="0"/>
        <w:kinsoku/>
        <w:wordWrap/>
        <w:overflowPunct/>
        <w:topLinePunct w:val="0"/>
        <w:autoSpaceDE/>
        <w:autoSpaceDN/>
        <w:bidi w:val="0"/>
        <w:adjustRightInd/>
        <w:spacing w:line="580" w:lineRule="exact"/>
        <w:ind w:firstLine="640"/>
        <w:textAlignment w:val="auto"/>
        <w:rPr>
          <w:rFonts w:hint="eastAsia" w:ascii="方正仿宋_GBK" w:hAnsi="方正仿宋_GBK" w:eastAsia="方正仿宋_GBK" w:cs="方正仿宋_GBK"/>
          <w:smallCaps/>
          <w:color w:val="auto"/>
          <w:sz w:val="32"/>
          <w:szCs w:val="32"/>
        </w:rPr>
        <w:sectPr>
          <w:headerReference r:id="rId5" w:type="first"/>
          <w:footerReference r:id="rId8" w:type="first"/>
          <w:headerReference r:id="rId3" w:type="default"/>
          <w:footerReference r:id="rId6" w:type="default"/>
          <w:headerReference r:id="rId4" w:type="even"/>
          <w:footerReference r:id="rId7" w:type="even"/>
          <w:pgSz w:w="11906" w:h="16838"/>
          <w:pgMar w:top="2098" w:right="1474" w:bottom="1701" w:left="1474" w:header="851" w:footer="1417" w:gutter="0"/>
          <w:paperSrc/>
          <w:pgBorders>
            <w:top w:val="none" w:sz="0" w:space="0"/>
            <w:left w:val="none" w:sz="0" w:space="0"/>
            <w:bottom w:val="none" w:sz="0" w:space="0"/>
            <w:right w:val="none" w:sz="0" w:space="0"/>
          </w:pgBorders>
          <w:pgNumType w:fmt="numberInDash"/>
          <w:cols w:space="720" w:num="1"/>
          <w:rtlGutter w:val="0"/>
          <w:docGrid w:type="lines" w:linePitch="312" w:charSpace="0"/>
        </w:sectPr>
      </w:pPr>
    </w:p>
    <w:p>
      <w:pPr>
        <w:pStyle w:val="3"/>
        <w:keepNext w:val="0"/>
        <w:keepLines w:val="0"/>
        <w:pageBreakBefore w:val="0"/>
        <w:widowControl w:val="0"/>
        <w:numPr>
          <w:ilvl w:val="0"/>
          <w:numId w:val="0"/>
        </w:numPr>
        <w:kinsoku/>
        <w:wordWrap/>
        <w:overflowPunct/>
        <w:topLinePunct w:val="0"/>
        <w:autoSpaceDE/>
        <w:autoSpaceDN/>
        <w:bidi w:val="0"/>
        <w:adjustRightInd/>
        <w:snapToGrid w:val="0"/>
        <w:spacing w:before="313" w:beforeLines="100" w:after="313" w:afterLines="100" w:line="580" w:lineRule="exact"/>
        <w:jc w:val="center"/>
        <w:textAlignment w:val="auto"/>
        <w:rPr>
          <w:rFonts w:hint="eastAsia" w:ascii="方正黑体_GBK" w:hAnsi="方正黑体_GBK" w:eastAsia="方正黑体_GBK" w:cs="方正黑体_GBK"/>
          <w:b w:val="0"/>
          <w:bCs w:val="0"/>
          <w:color w:val="auto"/>
          <w:sz w:val="32"/>
          <w:szCs w:val="32"/>
        </w:rPr>
      </w:pPr>
      <w:bookmarkStart w:id="10" w:name="_Toc149727777"/>
      <w:bookmarkStart w:id="11" w:name="_Toc472500603"/>
      <w:bookmarkStart w:id="12" w:name="_Toc364859382"/>
      <w:bookmarkStart w:id="13" w:name="_Toc472500615"/>
      <w:r>
        <w:rPr>
          <w:rFonts w:hint="eastAsia" w:ascii="方正黑体_GBK" w:hAnsi="方正黑体_GBK" w:eastAsia="方正黑体_GBK" w:cs="方正黑体_GBK"/>
          <w:b w:val="0"/>
          <w:bCs w:val="0"/>
          <w:color w:val="auto"/>
          <w:sz w:val="32"/>
          <w:szCs w:val="32"/>
          <w:lang w:eastAsia="zh-CN"/>
        </w:rPr>
        <w:t>第一章</w:t>
      </w:r>
      <w:r>
        <w:rPr>
          <w:rFonts w:hint="eastAsia" w:ascii="方正黑体_GBK" w:hAnsi="方正黑体_GBK" w:eastAsia="方正黑体_GBK" w:cs="方正黑体_GBK"/>
          <w:b w:val="0"/>
          <w:bCs w:val="0"/>
          <w:color w:val="auto"/>
          <w:sz w:val="32"/>
          <w:szCs w:val="32"/>
          <w:lang w:val="en-US" w:eastAsia="zh-CN"/>
        </w:rPr>
        <w:t xml:space="preserve">  </w:t>
      </w:r>
      <w:r>
        <w:rPr>
          <w:rFonts w:hint="eastAsia" w:ascii="方正黑体_GBK" w:hAnsi="方正黑体_GBK" w:eastAsia="方正黑体_GBK" w:cs="方正黑体_GBK"/>
          <w:b w:val="0"/>
          <w:bCs w:val="0"/>
          <w:color w:val="auto"/>
          <w:sz w:val="32"/>
          <w:szCs w:val="32"/>
        </w:rPr>
        <w:t>基本情况</w:t>
      </w:r>
      <w:bookmarkEnd w:id="10"/>
    </w:p>
    <w:p>
      <w:pPr>
        <w:pStyle w:val="24"/>
        <w:keepNext w:val="0"/>
        <w:keepLines w:val="0"/>
        <w:pageBreakBefore w:val="0"/>
        <w:widowControl w:val="0"/>
        <w:kinsoku/>
        <w:wordWrap/>
        <w:overflowPunct/>
        <w:topLinePunct w:val="0"/>
        <w:autoSpaceDE/>
        <w:autoSpaceDN/>
        <w:bidi w:val="0"/>
        <w:adjustRightInd/>
        <w:spacing w:line="580" w:lineRule="exact"/>
        <w:ind w:firstLine="678"/>
        <w:jc w:val="both"/>
        <w:textAlignment w:val="auto"/>
        <w:rPr>
          <w:rFonts w:hint="eastAsia" w:ascii="方正仿宋_GBK" w:hAnsi="方正仿宋_GBK" w:eastAsia="方正仿宋_GBK" w:cs="方正仿宋_GBK"/>
          <w:caps w:val="0"/>
          <w:smallCaps/>
          <w:color w:val="auto"/>
          <w:spacing w:val="-6"/>
          <w:sz w:val="32"/>
          <w:szCs w:val="32"/>
        </w:rPr>
      </w:pPr>
      <w:r>
        <w:rPr>
          <w:rFonts w:hint="eastAsia" w:ascii="方正仿宋_GBK" w:hAnsi="方正仿宋_GBK" w:eastAsia="方正仿宋_GBK" w:cs="方正仿宋_GBK"/>
          <w:b w:val="0"/>
          <w:bCs w:val="0"/>
          <w:color w:val="auto"/>
          <w:sz w:val="32"/>
          <w:szCs w:val="32"/>
        </w:rPr>
        <w:t>内蒙古自治区地处祖国北疆，东西长2400公里，南北宽1700公里，总面积118.3万平方公里，地理区域跨越我国东北、华北和西北地区</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以大兴安岭、阴山和贺兰山等山脉为脊梁，构成了北侧以内蒙古高原为主体，南侧以平原为主体，沙漠、沙地、丘陵、湖泊相间分布的</w:t>
      </w:r>
      <w:r>
        <w:rPr>
          <w:rFonts w:hint="eastAsia" w:ascii="方正仿宋_GBK" w:hAnsi="方正仿宋_GBK" w:eastAsia="方正仿宋_GBK" w:cs="方正仿宋_GBK"/>
          <w:b w:val="0"/>
          <w:bCs w:val="0"/>
          <w:color w:val="auto"/>
          <w:sz w:val="32"/>
          <w:szCs w:val="32"/>
          <w:lang w:eastAsia="zh-CN"/>
        </w:rPr>
        <w:t>地形</w:t>
      </w:r>
      <w:r>
        <w:rPr>
          <w:rFonts w:hint="eastAsia" w:ascii="方正仿宋_GBK" w:hAnsi="方正仿宋_GBK" w:eastAsia="方正仿宋_GBK" w:cs="方正仿宋_GBK"/>
          <w:b w:val="0"/>
          <w:bCs w:val="0"/>
          <w:color w:val="auto"/>
          <w:sz w:val="32"/>
          <w:szCs w:val="32"/>
        </w:rPr>
        <w:t>地貌。内蒙古辽阔的</w:t>
      </w:r>
      <w:r>
        <w:rPr>
          <w:rFonts w:hint="eastAsia" w:ascii="方正仿宋_GBK" w:hAnsi="方正仿宋_GBK" w:eastAsia="方正仿宋_GBK" w:cs="方正仿宋_GBK"/>
          <w:b w:val="0"/>
          <w:bCs w:val="0"/>
          <w:color w:val="auto"/>
          <w:sz w:val="32"/>
          <w:szCs w:val="32"/>
          <w:lang w:eastAsia="zh-CN"/>
        </w:rPr>
        <w:t>地域</w:t>
      </w:r>
      <w:r>
        <w:rPr>
          <w:rFonts w:hint="eastAsia" w:ascii="方正仿宋_GBK" w:hAnsi="方正仿宋_GBK" w:eastAsia="方正仿宋_GBK" w:cs="方正仿宋_GBK"/>
          <w:b w:val="0"/>
          <w:bCs w:val="0"/>
          <w:color w:val="auto"/>
          <w:sz w:val="32"/>
          <w:szCs w:val="32"/>
        </w:rPr>
        <w:t>、多样的地形地貌，致使热量与干湿程度在空间分布极不平衡，水热组合截然有别，自然生态在时空格局上差异显著，生态区位十分重要，自东向西呈现出了森林、草原、荒漠地带性景观，蕴含了丰富的生物多样性，构成了我国北方重要的生态安全屏障。内蒙古横跨“三北”，是我国北方面积最大、种类最全的生态功能区</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在我国生态安全中具有十分重要的地位</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aps w:val="0"/>
          <w:smallCaps/>
          <w:color w:val="auto"/>
          <w:spacing w:val="-6"/>
          <w:sz w:val="32"/>
          <w:szCs w:val="32"/>
        </w:rPr>
        <w:t>按照《全国重要生态系统保护和修复重大工程总体规划（2021</w:t>
      </w:r>
      <w:r>
        <w:rPr>
          <w:rFonts w:hint="eastAsia" w:ascii="方正仿宋_GBK" w:hAnsi="方正仿宋_GBK" w:eastAsia="方正仿宋_GBK" w:cs="方正仿宋_GBK"/>
          <w:b w:val="0"/>
          <w:bCs w:val="0"/>
          <w:caps w:val="0"/>
          <w:smallCaps/>
          <w:color w:val="auto"/>
          <w:spacing w:val="-6"/>
          <w:sz w:val="32"/>
          <w:szCs w:val="32"/>
          <w:lang w:eastAsia="zh-CN"/>
        </w:rPr>
        <w:t>—</w:t>
      </w:r>
      <w:r>
        <w:rPr>
          <w:rFonts w:hint="eastAsia" w:ascii="方正仿宋_GBK" w:hAnsi="方正仿宋_GBK" w:eastAsia="方正仿宋_GBK" w:cs="方正仿宋_GBK"/>
          <w:b w:val="0"/>
          <w:bCs w:val="0"/>
          <w:caps w:val="0"/>
          <w:smallCaps/>
          <w:color w:val="auto"/>
          <w:spacing w:val="-6"/>
          <w:sz w:val="32"/>
          <w:szCs w:val="32"/>
        </w:rPr>
        <w:t>2035年）》</w:t>
      </w:r>
      <w:r>
        <w:rPr>
          <w:rFonts w:hint="eastAsia" w:ascii="方正仿宋_GBK" w:hAnsi="方正仿宋_GBK" w:eastAsia="方正仿宋_GBK" w:cs="方正仿宋_GBK"/>
          <w:b w:val="0"/>
          <w:bCs w:val="0"/>
          <w:caps w:val="0"/>
          <w:smallCaps/>
          <w:color w:val="auto"/>
          <w:spacing w:val="-6"/>
          <w:sz w:val="32"/>
          <w:szCs w:val="32"/>
          <w:lang w:eastAsia="zh-CN"/>
        </w:rPr>
        <w:t>（发改农经〔</w:t>
      </w:r>
      <w:r>
        <w:rPr>
          <w:rFonts w:hint="eastAsia" w:ascii="方正仿宋_GBK" w:hAnsi="方正仿宋_GBK" w:eastAsia="方正仿宋_GBK" w:cs="方正仿宋_GBK"/>
          <w:b w:val="0"/>
          <w:bCs w:val="0"/>
          <w:caps w:val="0"/>
          <w:smallCaps/>
          <w:color w:val="auto"/>
          <w:spacing w:val="-6"/>
          <w:sz w:val="32"/>
          <w:szCs w:val="32"/>
          <w:lang w:val="en-US" w:eastAsia="zh-CN"/>
        </w:rPr>
        <w:t>2020</w:t>
      </w:r>
      <w:r>
        <w:rPr>
          <w:rFonts w:hint="eastAsia" w:ascii="方正仿宋_GBK" w:hAnsi="方正仿宋_GBK" w:eastAsia="方正仿宋_GBK" w:cs="方正仿宋_GBK"/>
          <w:b w:val="0"/>
          <w:bCs w:val="0"/>
          <w:caps w:val="0"/>
          <w:smallCaps/>
          <w:color w:val="auto"/>
          <w:spacing w:val="-6"/>
          <w:sz w:val="32"/>
          <w:szCs w:val="32"/>
          <w:lang w:eastAsia="zh-CN"/>
        </w:rPr>
        <w:t>〕</w:t>
      </w:r>
      <w:r>
        <w:rPr>
          <w:rFonts w:hint="eastAsia" w:ascii="方正仿宋_GBK" w:hAnsi="方正仿宋_GBK" w:eastAsia="方正仿宋_GBK" w:cs="方正仿宋_GBK"/>
          <w:b w:val="0"/>
          <w:bCs w:val="0"/>
          <w:caps w:val="0"/>
          <w:smallCaps/>
          <w:color w:val="auto"/>
          <w:spacing w:val="-6"/>
          <w:sz w:val="32"/>
          <w:szCs w:val="32"/>
          <w:lang w:val="en-US" w:eastAsia="zh-CN"/>
        </w:rPr>
        <w:t>837号）</w:t>
      </w:r>
      <w:r>
        <w:rPr>
          <w:rFonts w:hint="eastAsia" w:ascii="方正仿宋_GBK" w:hAnsi="方正仿宋_GBK" w:eastAsia="方正仿宋_GBK" w:cs="方正仿宋_GBK"/>
          <w:b w:val="0"/>
          <w:bCs w:val="0"/>
          <w:caps w:val="0"/>
          <w:smallCaps/>
          <w:color w:val="auto"/>
          <w:spacing w:val="-6"/>
          <w:sz w:val="32"/>
          <w:szCs w:val="32"/>
        </w:rPr>
        <w:t>中的“三区四带”发展格局和《全国湿地保护规划（2022</w:t>
      </w:r>
      <w:r>
        <w:rPr>
          <w:rFonts w:hint="eastAsia" w:ascii="方正仿宋_GBK" w:hAnsi="方正仿宋_GBK" w:eastAsia="方正仿宋_GBK" w:cs="方正仿宋_GBK"/>
          <w:b w:val="0"/>
          <w:bCs w:val="0"/>
          <w:caps w:val="0"/>
          <w:smallCaps/>
          <w:color w:val="auto"/>
          <w:spacing w:val="-6"/>
          <w:sz w:val="32"/>
          <w:szCs w:val="32"/>
          <w:lang w:eastAsia="zh-CN"/>
        </w:rPr>
        <w:t>—</w:t>
      </w:r>
      <w:r>
        <w:rPr>
          <w:rFonts w:hint="eastAsia" w:ascii="方正仿宋_GBK" w:hAnsi="方正仿宋_GBK" w:eastAsia="方正仿宋_GBK" w:cs="方正仿宋_GBK"/>
          <w:b w:val="0"/>
          <w:bCs w:val="0"/>
          <w:caps w:val="0"/>
          <w:smallCaps/>
          <w:color w:val="auto"/>
          <w:spacing w:val="-6"/>
          <w:sz w:val="32"/>
          <w:szCs w:val="32"/>
        </w:rPr>
        <w:t>2030年）》</w:t>
      </w:r>
      <w:r>
        <w:rPr>
          <w:rFonts w:hint="eastAsia" w:ascii="方正仿宋_GBK" w:hAnsi="方正仿宋_GBK" w:eastAsia="方正仿宋_GBK" w:cs="方正仿宋_GBK"/>
          <w:b w:val="0"/>
          <w:bCs w:val="0"/>
          <w:caps w:val="0"/>
          <w:smallCaps/>
          <w:color w:val="auto"/>
          <w:spacing w:val="-6"/>
          <w:sz w:val="32"/>
          <w:szCs w:val="32"/>
          <w:lang w:eastAsia="zh-CN"/>
        </w:rPr>
        <w:t>（林规发〔</w:t>
      </w:r>
      <w:r>
        <w:rPr>
          <w:rFonts w:hint="eastAsia" w:ascii="方正仿宋_GBK" w:hAnsi="方正仿宋_GBK" w:eastAsia="方正仿宋_GBK" w:cs="方正仿宋_GBK"/>
          <w:b w:val="0"/>
          <w:bCs w:val="0"/>
          <w:caps w:val="0"/>
          <w:smallCaps/>
          <w:color w:val="auto"/>
          <w:spacing w:val="-6"/>
          <w:sz w:val="32"/>
          <w:szCs w:val="32"/>
          <w:lang w:val="en-US" w:eastAsia="zh-CN"/>
        </w:rPr>
        <w:t>2022</w:t>
      </w:r>
      <w:r>
        <w:rPr>
          <w:rFonts w:hint="eastAsia" w:ascii="方正仿宋_GBK" w:hAnsi="方正仿宋_GBK" w:eastAsia="方正仿宋_GBK" w:cs="方正仿宋_GBK"/>
          <w:b w:val="0"/>
          <w:bCs w:val="0"/>
          <w:caps w:val="0"/>
          <w:smallCaps/>
          <w:color w:val="auto"/>
          <w:spacing w:val="-6"/>
          <w:sz w:val="32"/>
          <w:szCs w:val="32"/>
          <w:lang w:eastAsia="zh-CN"/>
        </w:rPr>
        <w:t>〕</w:t>
      </w:r>
      <w:r>
        <w:rPr>
          <w:rFonts w:hint="eastAsia" w:ascii="方正仿宋_GBK" w:hAnsi="方正仿宋_GBK" w:eastAsia="方正仿宋_GBK" w:cs="方正仿宋_GBK"/>
          <w:b w:val="0"/>
          <w:bCs w:val="0"/>
          <w:caps w:val="0"/>
          <w:smallCaps/>
          <w:color w:val="auto"/>
          <w:spacing w:val="-6"/>
          <w:sz w:val="32"/>
          <w:szCs w:val="32"/>
          <w:lang w:val="en-US" w:eastAsia="zh-CN"/>
        </w:rPr>
        <w:t>99号）</w:t>
      </w:r>
      <w:r>
        <w:rPr>
          <w:rFonts w:hint="eastAsia" w:ascii="方正仿宋_GBK" w:hAnsi="方正仿宋_GBK" w:eastAsia="方正仿宋_GBK" w:cs="方正仿宋_GBK"/>
          <w:b w:val="0"/>
          <w:bCs w:val="0"/>
          <w:caps w:val="0"/>
          <w:smallCaps/>
          <w:color w:val="auto"/>
          <w:spacing w:val="-6"/>
          <w:sz w:val="32"/>
          <w:szCs w:val="32"/>
        </w:rPr>
        <w:t>中的空间布局，内蒙古处于东北森林带、北方防沙带和黄河重点生态区三大战略空间，</w:t>
      </w:r>
      <w:r>
        <w:rPr>
          <w:rFonts w:hint="eastAsia" w:ascii="方正仿宋_GBK" w:hAnsi="方正仿宋_GBK" w:eastAsia="方正仿宋_GBK" w:cs="方正仿宋_GBK"/>
          <w:b w:val="0"/>
          <w:bCs w:val="0"/>
          <w:caps w:val="0"/>
          <w:smallCaps/>
          <w:color w:val="auto"/>
          <w:spacing w:val="-6"/>
          <w:sz w:val="32"/>
          <w:szCs w:val="32"/>
          <w:lang w:eastAsia="zh-CN"/>
        </w:rPr>
        <w:t>是</w:t>
      </w:r>
      <w:r>
        <w:rPr>
          <w:rFonts w:hint="eastAsia" w:ascii="方正仿宋_GBK" w:hAnsi="方正仿宋_GBK" w:eastAsia="方正仿宋_GBK" w:cs="方正仿宋_GBK"/>
          <w:b w:val="0"/>
          <w:bCs w:val="0"/>
          <w:caps w:val="0"/>
          <w:smallCaps/>
          <w:color w:val="auto"/>
          <w:spacing w:val="-6"/>
          <w:sz w:val="32"/>
          <w:szCs w:val="32"/>
        </w:rPr>
        <w:t>全国湿地保护规划的重要组成部分，守卫着华北、东北、西北乃至全国的生态安全。</w:t>
      </w:r>
    </w:p>
    <w:p>
      <w:pPr>
        <w:pStyle w:val="24"/>
        <w:keepNext w:val="0"/>
        <w:keepLines w:val="0"/>
        <w:pageBreakBefore w:val="0"/>
        <w:widowControl w:val="0"/>
        <w:kinsoku/>
        <w:wordWrap/>
        <w:overflowPunct/>
        <w:topLinePunct w:val="0"/>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rPr>
        <w:t>湿地</w:t>
      </w:r>
      <w:r>
        <w:rPr>
          <w:rFonts w:hint="eastAsia" w:ascii="方正仿宋_GBK" w:hAnsi="方正仿宋_GBK" w:eastAsia="方正仿宋_GBK" w:cs="方正仿宋_GBK"/>
          <w:b w:val="0"/>
          <w:bCs w:val="0"/>
          <w:color w:val="auto"/>
          <w:sz w:val="32"/>
          <w:szCs w:val="32"/>
        </w:rPr>
        <w:t>是指具有显著生态功能的自然或者人工的、常年或者季节性积水地带、水域，包括低潮时水深不超过</w:t>
      </w:r>
      <w:r>
        <w:rPr>
          <w:rFonts w:hint="eastAsia" w:ascii="方正仿宋_GBK" w:hAnsi="方正仿宋_GBK" w:eastAsia="方正仿宋_GBK" w:cs="方正仿宋_GBK"/>
          <w:b w:val="0"/>
          <w:bCs w:val="0"/>
          <w:color w:val="auto"/>
          <w:sz w:val="32"/>
          <w:szCs w:val="32"/>
          <w:lang w:val="en-US" w:eastAsia="zh-CN"/>
        </w:rPr>
        <w:t>6</w:t>
      </w:r>
      <w:r>
        <w:rPr>
          <w:rFonts w:hint="eastAsia" w:ascii="方正仿宋_GBK" w:hAnsi="方正仿宋_GBK" w:eastAsia="方正仿宋_GBK" w:cs="方正仿宋_GBK"/>
          <w:b w:val="0"/>
          <w:bCs w:val="0"/>
          <w:color w:val="auto"/>
          <w:sz w:val="32"/>
          <w:szCs w:val="32"/>
        </w:rPr>
        <w:t>米的海域（水田以及用于养殖的人工的水域和滩涂除外）</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color w:val="auto"/>
          <w:sz w:val="32"/>
          <w:szCs w:val="32"/>
        </w:rPr>
        <w:t>是自然界三大生态系统之一，也是最脆弱的生态系统之一。内蒙古湿地面积较大</w:t>
      </w:r>
      <w:r>
        <w:rPr>
          <w:rFonts w:hint="eastAsia" w:ascii="方正仿宋_GBK" w:hAnsi="方正仿宋_GBK" w:eastAsia="方正仿宋_GBK" w:cs="方正仿宋_GBK"/>
          <w:color w:val="auto"/>
          <w:sz w:val="32"/>
          <w:szCs w:val="32"/>
          <w:lang w:eastAsia="zh-CN"/>
        </w:rPr>
        <w:t>（</w:t>
      </w:r>
      <w:r>
        <w:rPr>
          <w:rFonts w:hint="eastAsia" w:ascii="方正仿宋_GBK" w:hAnsi="方正仿宋_GBK" w:eastAsia="方正仿宋_GBK" w:cs="方正仿宋_GBK"/>
          <w:color w:val="auto"/>
          <w:sz w:val="32"/>
          <w:szCs w:val="32"/>
        </w:rPr>
        <w:t>居全国第</w:t>
      </w:r>
      <w:r>
        <w:rPr>
          <w:rFonts w:hint="eastAsia" w:ascii="方正仿宋_GBK" w:hAnsi="方正仿宋_GBK" w:eastAsia="方正仿宋_GBK" w:cs="方正仿宋_GBK"/>
          <w:color w:val="auto"/>
          <w:sz w:val="32"/>
          <w:szCs w:val="32"/>
          <w:lang w:eastAsia="zh-CN"/>
        </w:rPr>
        <w:t>四位）</w:t>
      </w:r>
      <w:r>
        <w:rPr>
          <w:rFonts w:hint="eastAsia" w:ascii="方正仿宋_GBK" w:hAnsi="方正仿宋_GBK" w:eastAsia="方正仿宋_GBK" w:cs="方正仿宋_GBK"/>
          <w:color w:val="auto"/>
          <w:sz w:val="32"/>
          <w:szCs w:val="32"/>
        </w:rPr>
        <w:t>，总体分布不均，东多西少，呈现出沼泽、湖泊、河流、内陆滩涂等多种类型，是自治区生态环境的重要组成部分，是维护自治区乃至全国生态安全、生物多样性保护的重要因素。</w:t>
      </w:r>
      <w:bookmarkStart w:id="14" w:name="_Toc149727778"/>
    </w:p>
    <w:p>
      <w:pPr>
        <w:pStyle w:val="24"/>
        <w:keepNext w:val="0"/>
        <w:keepLines w:val="0"/>
        <w:pageBreakBefore w:val="0"/>
        <w:widowControl w:val="0"/>
        <w:numPr>
          <w:ilvl w:val="0"/>
          <w:numId w:val="0"/>
        </w:numPr>
        <w:kinsoku/>
        <w:wordWrap/>
        <w:overflowPunct/>
        <w:topLinePunct w:val="0"/>
        <w:autoSpaceDE/>
        <w:autoSpaceDN/>
        <w:bidi w:val="0"/>
        <w:adjustRightInd/>
        <w:snapToGrid w:val="0"/>
        <w:spacing w:before="313" w:beforeLines="100" w:after="313" w:afterLines="100" w:line="580" w:lineRule="exact"/>
        <w:ind w:left="0" w:leftChars="0" w:firstLine="0" w:firstLineChars="0"/>
        <w:jc w:val="center"/>
        <w:textAlignment w:val="auto"/>
        <w:rPr>
          <w:rFonts w:hint="eastAsia"/>
        </w:rPr>
      </w:pPr>
      <w:r>
        <w:rPr>
          <w:rFonts w:hint="eastAsia" w:ascii="方正楷体_GBK" w:hAnsi="方正楷体_GBK" w:eastAsia="方正楷体_GBK" w:cs="方正楷体_GBK"/>
          <w:b w:val="0"/>
          <w:bCs w:val="0"/>
          <w:color w:val="auto"/>
          <w:sz w:val="32"/>
          <w:szCs w:val="32"/>
          <w:lang w:eastAsia="zh-CN"/>
        </w:rPr>
        <w:t>第一节</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 xml:space="preserve"> 内蒙古自治区湿地类型及分布特点</w:t>
      </w:r>
      <w:bookmarkEnd w:id="14"/>
      <w:bookmarkStart w:id="15" w:name="_Toc48572869"/>
      <w:bookmarkStart w:id="16" w:name="_Toc48572865"/>
      <w:bookmarkStart w:id="17" w:name="_Toc472500598"/>
    </w:p>
    <w:p>
      <w:pPr>
        <w:keepNext w:val="0"/>
        <w:keepLines w:val="0"/>
        <w:pageBreakBefore w:val="0"/>
        <w:widowControl w:val="0"/>
        <w:kinsoku/>
        <w:wordWrap/>
        <w:overflowPunct/>
        <w:topLinePunct w:val="0"/>
        <w:autoSpaceDE/>
        <w:autoSpaceDN/>
        <w:bidi w:val="0"/>
        <w:adjustRightInd/>
        <w:spacing w:line="580" w:lineRule="exact"/>
        <w:ind w:firstLine="640" w:firstLineChars="200"/>
        <w:textAlignment w:val="auto"/>
        <w:rPr>
          <w:rFonts w:hint="eastAsia" w:ascii="方正仿宋_GBK" w:hAnsi="方正仿宋_GBK" w:eastAsia="方正仿宋_GBK" w:cs="方正仿宋_GBK"/>
          <w:b w:val="0"/>
          <w:bCs w:val="0"/>
          <w:color w:val="auto"/>
          <w:sz w:val="32"/>
          <w:szCs w:val="32"/>
          <w:lang w:eastAsia="zh-CN"/>
        </w:rPr>
      </w:pPr>
      <w:r>
        <w:rPr>
          <w:rFonts w:hint="eastAsia" w:ascii="方正仿宋_GBK" w:hAnsi="方正仿宋_GBK" w:eastAsia="方正仿宋_GBK" w:cs="方正仿宋_GBK"/>
          <w:b w:val="0"/>
          <w:bCs w:val="0"/>
          <w:color w:val="auto"/>
          <w:sz w:val="32"/>
          <w:szCs w:val="32"/>
          <w:lang w:val="en-US" w:eastAsia="zh-CN"/>
        </w:rPr>
        <w:t>1.</w:t>
      </w:r>
      <w:r>
        <w:rPr>
          <w:rFonts w:hint="eastAsia" w:ascii="方正仿宋_GBK" w:hAnsi="方正仿宋_GBK" w:eastAsia="方正仿宋_GBK" w:cs="方正仿宋_GBK"/>
          <w:b w:val="0"/>
          <w:bCs w:val="0"/>
          <w:color w:val="auto"/>
          <w:sz w:val="32"/>
          <w:szCs w:val="32"/>
        </w:rPr>
        <w:t>湿地类型与面积</w:t>
      </w:r>
      <w:r>
        <w:rPr>
          <w:rFonts w:hint="eastAsia" w:ascii="方正仿宋_GBK" w:hAnsi="方正仿宋_GBK" w:eastAsia="方正仿宋_GBK" w:cs="方正仿宋_GBK"/>
          <w:b w:val="0"/>
          <w:bCs w:val="0"/>
          <w:color w:val="auto"/>
          <w:sz w:val="32"/>
          <w:szCs w:val="32"/>
          <w:lang w:val="en-US" w:eastAsia="zh-CN"/>
        </w:rPr>
        <w:t>。</w:t>
      </w:r>
      <w:r>
        <w:rPr>
          <w:rFonts w:hint="eastAsia" w:ascii="方正仿宋_GBK" w:hAnsi="方正仿宋_GBK" w:eastAsia="方正仿宋_GBK" w:cs="方正仿宋_GBK"/>
          <w:b w:val="0"/>
          <w:bCs w:val="0"/>
          <w:color w:val="auto"/>
          <w:sz w:val="32"/>
          <w:szCs w:val="32"/>
        </w:rPr>
        <w:t>根据内蒙古自治区2021年度国土变更调查成果，按照《自然资源部办公厅关于确定全口径湿地范围意见的函》（自然资办函〔2022〕1961号）统计口径，内蒙古</w:t>
      </w:r>
      <w:r>
        <w:rPr>
          <w:rFonts w:hint="eastAsia" w:ascii="方正仿宋_GBK" w:hAnsi="方正仿宋_GBK" w:eastAsia="方正仿宋_GBK" w:cs="方正仿宋_GBK"/>
          <w:b w:val="0"/>
          <w:bCs w:val="0"/>
          <w:color w:val="auto"/>
          <w:sz w:val="32"/>
          <w:szCs w:val="32"/>
          <w:lang w:eastAsia="zh-CN"/>
        </w:rPr>
        <w:t>共</w:t>
      </w:r>
      <w:r>
        <w:rPr>
          <w:rFonts w:hint="eastAsia" w:ascii="方正仿宋_GBK" w:hAnsi="方正仿宋_GBK" w:eastAsia="方正仿宋_GBK" w:cs="方正仿宋_GBK"/>
          <w:b w:val="0"/>
          <w:bCs w:val="0"/>
          <w:color w:val="auto"/>
          <w:sz w:val="32"/>
          <w:szCs w:val="32"/>
        </w:rPr>
        <w:t>有森林沼泽、灌丛沼泽、沼泽草地、内陆滩涂、沼泽地、河流水面、湖泊水面、水库水面、坑塘水面（不含养殖坑塘）、沟渠（干渠）10种湿地型，湿地总面积485.52万公顷</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其中，森林沼泽70.13万公顷，占14.5%；灌丛沼泽21.50万公顷，占4.4%；沼泽草地183.62万公顷，占37.8%；内陆滩涂93.17万公顷，占19.2%；沼泽地11.82万公顷，占2.4%；河流水面31.29万公顷，占6.4%；湖泊水面39.68万公顷，占8.2%；水库水面7.19万公顷，占1.5%；坑塘水面（不含养殖坑塘）13.38万公顷，占2.8%；沟渠（干渠）13.74万公顷，占2.8%。</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详见表1-1</w:t>
      </w:r>
      <w:r>
        <w:rPr>
          <w:rFonts w:hint="eastAsia" w:ascii="方正仿宋_GBK" w:hAnsi="方正仿宋_GBK" w:eastAsia="方正仿宋_GBK" w:cs="方正仿宋_GBK"/>
          <w:b w:val="0"/>
          <w:bCs w:val="0"/>
          <w:color w:val="auto"/>
          <w:sz w:val="32"/>
          <w:szCs w:val="32"/>
          <w:lang w:eastAsia="zh-CN"/>
        </w:rPr>
        <w:t>、图</w:t>
      </w:r>
      <w:r>
        <w:rPr>
          <w:rFonts w:hint="eastAsia" w:ascii="方正仿宋_GBK" w:hAnsi="方正仿宋_GBK" w:eastAsia="方正仿宋_GBK" w:cs="方正仿宋_GBK"/>
          <w:b w:val="0"/>
          <w:bCs w:val="0"/>
          <w:color w:val="auto"/>
          <w:sz w:val="32"/>
          <w:szCs w:val="32"/>
          <w:lang w:val="en-US" w:eastAsia="zh-CN"/>
        </w:rPr>
        <w:t>1-1</w:t>
      </w:r>
      <w:r>
        <w:rPr>
          <w:rFonts w:hint="eastAsia" w:ascii="方正仿宋_GBK" w:hAnsi="方正仿宋_GBK" w:eastAsia="方正仿宋_GBK" w:cs="方正仿宋_GBK"/>
          <w:b w:val="0"/>
          <w:bCs w:val="0"/>
          <w:color w:val="auto"/>
          <w:sz w:val="32"/>
          <w:szCs w:val="32"/>
          <w:lang w:eastAsia="zh-CN"/>
        </w:rPr>
        <w:t>）</w:t>
      </w:r>
    </w:p>
    <w:p>
      <w:pPr>
        <w:pStyle w:val="2"/>
        <w:rPr>
          <w:rFonts w:hint="eastAsia" w:ascii="方正仿宋_GBK" w:hAnsi="方正仿宋_GBK" w:eastAsia="方正仿宋_GBK" w:cs="方正仿宋_GBK"/>
          <w:b w:val="0"/>
          <w:bCs w:val="0"/>
          <w:color w:val="auto"/>
          <w:sz w:val="32"/>
          <w:szCs w:val="32"/>
          <w:lang w:eastAsia="zh-CN"/>
        </w:rPr>
      </w:pPr>
    </w:p>
    <w:p>
      <w:pPr>
        <w:rPr>
          <w:rFonts w:hint="eastAsia" w:ascii="方正仿宋_GBK" w:hAnsi="方正仿宋_GBK" w:eastAsia="方正仿宋_GBK" w:cs="方正仿宋_GBK"/>
          <w:b w:val="0"/>
          <w:bCs w:val="0"/>
          <w:color w:val="auto"/>
          <w:sz w:val="32"/>
          <w:szCs w:val="32"/>
          <w:lang w:eastAsia="zh-CN"/>
        </w:rPr>
      </w:pPr>
    </w:p>
    <w:p>
      <w:pPr>
        <w:pStyle w:val="2"/>
        <w:rPr>
          <w:rFonts w:hint="eastAsia"/>
          <w:lang w:eastAsia="zh-CN"/>
        </w:rPr>
      </w:pPr>
    </w:p>
    <w:p>
      <w:pPr>
        <w:jc w:val="center"/>
        <w:rPr>
          <w:rFonts w:hint="eastAsia" w:ascii="黑体" w:hAnsi="黑体" w:eastAsia="黑体" w:cs="黑体"/>
          <w:sz w:val="32"/>
          <w:szCs w:val="32"/>
        </w:rPr>
      </w:pPr>
      <w:r>
        <w:rPr>
          <w:rFonts w:hint="eastAsia" w:ascii="黑体" w:hAnsi="黑体" w:eastAsia="黑体" w:cs="黑体"/>
          <w:sz w:val="32"/>
          <w:szCs w:val="32"/>
        </w:rPr>
        <w:t>表1-1</w:t>
      </w:r>
      <w:r>
        <w:rPr>
          <w:rFonts w:hint="eastAsia" w:ascii="黑体" w:hAnsi="黑体" w:eastAsia="黑体" w:cs="黑体"/>
          <w:sz w:val="32"/>
          <w:szCs w:val="32"/>
          <w:lang w:val="en-US" w:eastAsia="zh-CN"/>
        </w:rPr>
        <w:t xml:space="preserve">  </w:t>
      </w:r>
      <w:r>
        <w:rPr>
          <w:rFonts w:hint="eastAsia" w:ascii="黑体" w:hAnsi="黑体" w:eastAsia="黑体" w:cs="黑体"/>
          <w:sz w:val="32"/>
          <w:szCs w:val="32"/>
        </w:rPr>
        <w:t>内蒙古自治区各盟市湿地</w:t>
      </w:r>
      <w:r>
        <w:rPr>
          <w:rFonts w:hint="eastAsia" w:ascii="黑体" w:hAnsi="黑体" w:eastAsia="黑体" w:cs="黑体"/>
          <w:sz w:val="32"/>
          <w:szCs w:val="32"/>
          <w:lang w:eastAsia="zh-CN"/>
        </w:rPr>
        <w:t>（</w:t>
      </w:r>
      <w:r>
        <w:rPr>
          <w:rFonts w:hint="eastAsia" w:ascii="黑体" w:hAnsi="黑体" w:eastAsia="黑体" w:cs="黑体"/>
          <w:sz w:val="32"/>
          <w:szCs w:val="32"/>
        </w:rPr>
        <w:t>按湿地型</w:t>
      </w:r>
      <w:r>
        <w:rPr>
          <w:rFonts w:hint="eastAsia" w:ascii="黑体" w:hAnsi="黑体" w:eastAsia="黑体" w:cs="黑体"/>
          <w:sz w:val="32"/>
          <w:szCs w:val="32"/>
          <w:lang w:eastAsia="zh-CN"/>
        </w:rPr>
        <w:t>）</w:t>
      </w:r>
      <w:r>
        <w:rPr>
          <w:rFonts w:hint="eastAsia" w:ascii="黑体" w:hAnsi="黑体" w:eastAsia="黑体" w:cs="黑体"/>
          <w:sz w:val="32"/>
          <w:szCs w:val="32"/>
        </w:rPr>
        <w:t>统计表</w:t>
      </w:r>
    </w:p>
    <w:p>
      <w:pPr>
        <w:keepNext w:val="0"/>
        <w:keepLines w:val="0"/>
        <w:pageBreakBefore w:val="0"/>
        <w:widowControl w:val="0"/>
        <w:kinsoku/>
        <w:wordWrap/>
        <w:overflowPunct/>
        <w:topLinePunct w:val="0"/>
        <w:autoSpaceDE/>
        <w:autoSpaceDN/>
        <w:bidi w:val="0"/>
        <w:adjustRightInd/>
        <w:snapToGrid/>
        <w:spacing w:line="300" w:lineRule="exact"/>
        <w:jc w:val="right"/>
        <w:textAlignment w:val="auto"/>
        <w:rPr>
          <w:rFonts w:hint="eastAsia" w:ascii="宋体" w:hAnsi="宋体" w:eastAsia="宋体" w:cs="宋体"/>
          <w:sz w:val="21"/>
          <w:szCs w:val="21"/>
        </w:rPr>
      </w:pPr>
      <w:r>
        <w:rPr>
          <w:rFonts w:hint="eastAsia" w:ascii="宋体" w:hAnsi="宋体" w:eastAsia="宋体" w:cs="宋体"/>
          <w:sz w:val="21"/>
          <w:szCs w:val="21"/>
        </w:rPr>
        <w:t>单位：万公顷</w:t>
      </w:r>
    </w:p>
    <w:tbl>
      <w:tblPr>
        <w:tblStyle w:val="28"/>
        <w:tblpPr w:leftFromText="180" w:rightFromText="180" w:vertAnchor="text" w:horzAnchor="page" w:tblpXSpec="center" w:tblpY="184"/>
        <w:tblW w:w="9125" w:type="dxa"/>
        <w:jc w:val="center"/>
        <w:tblInd w:w="174"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1"/>
        <w:gridCol w:w="776"/>
        <w:gridCol w:w="742"/>
        <w:gridCol w:w="732"/>
        <w:gridCol w:w="714"/>
        <w:gridCol w:w="682"/>
        <w:gridCol w:w="760"/>
        <w:gridCol w:w="741"/>
        <w:gridCol w:w="666"/>
        <w:gridCol w:w="732"/>
        <w:gridCol w:w="643"/>
        <w:gridCol w:w="77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635" w:hRule="atLeast"/>
          <w:jc w:val="center"/>
        </w:trPr>
        <w:tc>
          <w:tcPr>
            <w:tcW w:w="116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盟（市）</w:t>
            </w:r>
          </w:p>
        </w:tc>
        <w:tc>
          <w:tcPr>
            <w:tcW w:w="7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沟渠</w:t>
            </w:r>
          </w:p>
          <w:p>
            <w:pPr>
              <w:keepNext w:val="0"/>
              <w:keepLines w:val="0"/>
              <w:pageBreakBefore w:val="0"/>
              <w:widowControl/>
              <w:kinsoku/>
              <w:wordWrap/>
              <w:overflowPunct/>
              <w:topLinePunct w:val="0"/>
              <w:autoSpaceDE/>
              <w:autoSpaceDN/>
              <w:bidi w:val="0"/>
              <w:adjustRightInd/>
              <w:snapToGrid/>
              <w:spacing w:line="260" w:lineRule="exact"/>
              <w:ind w:leftChars="-35" w:hanging="82" w:hangingChars="62"/>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spacing w:val="-28"/>
                <w:w w:val="90"/>
                <w:kern w:val="0"/>
                <w:sz w:val="21"/>
                <w:szCs w:val="21"/>
              </w:rPr>
              <w:t>（干渠）</w:t>
            </w:r>
          </w:p>
        </w:tc>
        <w:tc>
          <w:tcPr>
            <w:tcW w:w="74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灌丛沼泽</w:t>
            </w:r>
          </w:p>
        </w:tc>
        <w:tc>
          <w:tcPr>
            <w:tcW w:w="7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河流水面</w:t>
            </w:r>
          </w:p>
        </w:tc>
        <w:tc>
          <w:tcPr>
            <w:tcW w:w="714"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湖泊水面</w:t>
            </w:r>
          </w:p>
        </w:tc>
        <w:tc>
          <w:tcPr>
            <w:tcW w:w="68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坑塘水面</w:t>
            </w:r>
          </w:p>
        </w:tc>
        <w:tc>
          <w:tcPr>
            <w:tcW w:w="760"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内陆滩涂</w:t>
            </w:r>
          </w:p>
        </w:tc>
        <w:tc>
          <w:tcPr>
            <w:tcW w:w="741"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森林沼泽</w:t>
            </w:r>
          </w:p>
        </w:tc>
        <w:tc>
          <w:tcPr>
            <w:tcW w:w="66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水库水面</w:t>
            </w:r>
          </w:p>
        </w:tc>
        <w:tc>
          <w:tcPr>
            <w:tcW w:w="732"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沼泽</w:t>
            </w:r>
          </w:p>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草地</w:t>
            </w:r>
          </w:p>
        </w:tc>
        <w:tc>
          <w:tcPr>
            <w:tcW w:w="643"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沼泽地</w:t>
            </w:r>
          </w:p>
        </w:tc>
        <w:tc>
          <w:tcPr>
            <w:tcW w:w="7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snapToGrid/>
              <w:spacing w:line="260" w:lineRule="exact"/>
              <w:ind w:firstLine="0" w:firstLineChars="0"/>
              <w:jc w:val="center"/>
              <w:textAlignment w:val="auto"/>
              <w:rPr>
                <w:rFonts w:hint="eastAsia" w:ascii="方正黑体_GBK" w:hAnsi="方正黑体_GBK" w:eastAsia="方正黑体_GBK" w:cs="方正黑体_GBK"/>
                <w:b w:val="0"/>
                <w:bCs/>
                <w:color w:val="auto"/>
                <w:w w:val="90"/>
                <w:kern w:val="0"/>
                <w:sz w:val="21"/>
                <w:szCs w:val="21"/>
              </w:rPr>
            </w:pPr>
            <w:r>
              <w:rPr>
                <w:rFonts w:hint="eastAsia" w:ascii="方正黑体_GBK" w:hAnsi="方正黑体_GBK" w:eastAsia="方正黑体_GBK" w:cs="方正黑体_GBK"/>
                <w:b w:val="0"/>
                <w:bCs/>
                <w:color w:val="auto"/>
                <w:w w:val="90"/>
                <w:kern w:val="0"/>
                <w:sz w:val="21"/>
                <w:szCs w:val="21"/>
              </w:rPr>
              <w:t>总计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rPr>
            </w:pPr>
            <w:r>
              <w:rPr>
                <w:rFonts w:hint="eastAsia" w:ascii="宋体" w:hAnsi="宋体" w:eastAsia="宋体" w:cs="宋体"/>
                <w:color w:val="auto"/>
                <w:w w:val="90"/>
                <w:kern w:val="0"/>
                <w:sz w:val="21"/>
                <w:szCs w:val="21"/>
              </w:rPr>
              <w:t>呼和浩特市</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0.96</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0.00</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0.53</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0.17</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0.28</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1.73</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0.00</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0.16</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0.01</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0.00</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3.83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rPr>
            </w:pPr>
            <w:r>
              <w:rPr>
                <w:rFonts w:hint="eastAsia" w:ascii="宋体" w:hAnsi="宋体" w:eastAsia="宋体" w:cs="宋体"/>
                <w:color w:val="auto"/>
                <w:w w:val="90"/>
                <w:kern w:val="0"/>
                <w:sz w:val="21"/>
                <w:szCs w:val="21"/>
              </w:rPr>
              <w:t>包</w:t>
            </w:r>
            <w:r>
              <w:rPr>
                <w:rFonts w:hint="eastAsia" w:ascii="宋体" w:hAnsi="宋体" w:eastAsia="宋体" w:cs="宋体"/>
                <w:color w:val="auto"/>
                <w:w w:val="90"/>
                <w:kern w:val="0"/>
                <w:sz w:val="21"/>
                <w:szCs w:val="21"/>
                <w:lang w:val="en-US" w:eastAsia="zh-CN"/>
              </w:rPr>
              <w:t xml:space="preserve">  </w:t>
            </w:r>
            <w:r>
              <w:rPr>
                <w:rFonts w:hint="eastAsia" w:ascii="宋体" w:hAnsi="宋体" w:eastAsia="宋体" w:cs="宋体"/>
                <w:color w:val="auto"/>
                <w:w w:val="90"/>
                <w:kern w:val="0"/>
                <w:sz w:val="21"/>
                <w:szCs w:val="21"/>
              </w:rPr>
              <w:t>头</w:t>
            </w:r>
            <w:r>
              <w:rPr>
                <w:rFonts w:hint="eastAsia" w:ascii="宋体" w:hAnsi="宋体" w:eastAsia="宋体" w:cs="宋体"/>
                <w:color w:val="auto"/>
                <w:w w:val="90"/>
                <w:kern w:val="0"/>
                <w:sz w:val="21"/>
                <w:szCs w:val="21"/>
                <w:lang w:val="en-US" w:eastAsia="zh-CN"/>
              </w:rPr>
              <w:t xml:space="preserve">  </w:t>
            </w:r>
            <w:r>
              <w:rPr>
                <w:rFonts w:hint="eastAsia" w:ascii="宋体" w:hAnsi="宋体" w:eastAsia="宋体" w:cs="宋体"/>
                <w:color w:val="auto"/>
                <w:w w:val="90"/>
                <w:kern w:val="0"/>
                <w:sz w:val="21"/>
                <w:szCs w:val="21"/>
              </w:rPr>
              <w:t>市</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0.76</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0.00</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0.64</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0.41</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0.70</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3.08</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0.00</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0.08</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0.10</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0.00</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5.77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lang w:val="en-US" w:eastAsia="zh-CN" w:bidi="mn-Mong-CN"/>
              </w:rPr>
            </w:pPr>
            <w:r>
              <w:rPr>
                <w:rFonts w:hint="eastAsia" w:ascii="宋体" w:hAnsi="宋体" w:eastAsia="宋体" w:cs="宋体"/>
                <w:color w:val="auto"/>
                <w:w w:val="90"/>
                <w:kern w:val="0"/>
                <w:sz w:val="21"/>
                <w:szCs w:val="21"/>
              </w:rPr>
              <w:t>呼伦贝尔市</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0.25</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19.90</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8.94</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23.89</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2.30</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9.33</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68.44</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1.99</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148.17</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1.50</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284.70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285" w:hRule="atLeas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w w:val="90"/>
                <w:kern w:val="0"/>
                <w:sz w:val="21"/>
                <w:szCs w:val="21"/>
              </w:rPr>
            </w:pPr>
            <w:r>
              <w:rPr>
                <w:rFonts w:hint="eastAsia" w:ascii="黑体" w:hAnsi="黑体" w:eastAsia="黑体" w:cs="黑体"/>
                <w:b w:val="0"/>
                <w:bCs/>
                <w:color w:val="auto"/>
                <w:w w:val="90"/>
                <w:kern w:val="0"/>
                <w:sz w:val="21"/>
                <w:szCs w:val="21"/>
              </w:rPr>
              <w:t>盟（市）</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黑体" w:hAnsi="黑体" w:eastAsia="黑体" w:cs="黑体"/>
                <w:b w:val="0"/>
                <w:bCs/>
                <w:color w:val="auto"/>
                <w:w w:val="90"/>
                <w:kern w:val="0"/>
                <w:sz w:val="21"/>
                <w:szCs w:val="21"/>
              </w:rPr>
            </w:pPr>
            <w:r>
              <w:rPr>
                <w:rFonts w:hint="eastAsia" w:ascii="黑体" w:hAnsi="黑体" w:eastAsia="黑体" w:cs="黑体"/>
                <w:b w:val="0"/>
                <w:bCs/>
                <w:color w:val="auto"/>
                <w:w w:val="90"/>
                <w:kern w:val="0"/>
                <w:sz w:val="21"/>
                <w:szCs w:val="21"/>
              </w:rPr>
              <w:t>沟渠</w:t>
            </w:r>
          </w:p>
          <w:p>
            <w:pPr>
              <w:keepNext w:val="0"/>
              <w:keepLines w:val="0"/>
              <w:pageBreakBefore w:val="0"/>
              <w:widowControl/>
              <w:kinsoku/>
              <w:wordWrap/>
              <w:overflowPunct/>
              <w:topLinePunct w:val="0"/>
              <w:autoSpaceDE/>
              <w:autoSpaceDN/>
              <w:bidi w:val="0"/>
              <w:adjustRightInd/>
              <w:snapToGrid/>
              <w:spacing w:line="300" w:lineRule="exact"/>
              <w:ind w:left="9" w:leftChars="-35" w:hanging="82" w:hangingChars="62"/>
              <w:jc w:val="center"/>
              <w:textAlignment w:val="auto"/>
              <w:rPr>
                <w:rFonts w:hint="eastAsia" w:ascii="宋体" w:hAnsi="宋体" w:eastAsia="宋体" w:cs="宋体"/>
                <w:color w:val="auto"/>
                <w:spacing w:val="-17"/>
                <w:w w:val="90"/>
                <w:kern w:val="0"/>
                <w:sz w:val="21"/>
                <w:szCs w:val="21"/>
              </w:rPr>
            </w:pPr>
            <w:r>
              <w:rPr>
                <w:rFonts w:hint="eastAsia" w:ascii="黑体" w:hAnsi="黑体" w:eastAsia="黑体" w:cs="黑体"/>
                <w:b w:val="0"/>
                <w:bCs/>
                <w:color w:val="auto"/>
                <w:spacing w:val="-28"/>
                <w:w w:val="90"/>
                <w:kern w:val="0"/>
                <w:sz w:val="21"/>
                <w:szCs w:val="21"/>
              </w:rPr>
              <w:t>（干渠）</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黑体" w:hAnsi="黑体" w:eastAsia="黑体" w:cs="黑体"/>
                <w:b w:val="0"/>
                <w:bCs/>
                <w:color w:val="auto"/>
                <w:w w:val="90"/>
                <w:kern w:val="0"/>
                <w:sz w:val="21"/>
                <w:szCs w:val="21"/>
              </w:rPr>
              <w:t>灌丛沼泽</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黑体" w:hAnsi="黑体" w:eastAsia="黑体" w:cs="黑体"/>
                <w:b w:val="0"/>
                <w:bCs/>
                <w:color w:val="auto"/>
                <w:w w:val="90"/>
                <w:kern w:val="0"/>
                <w:sz w:val="21"/>
                <w:szCs w:val="21"/>
              </w:rPr>
              <w:t>河流水面</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黑体" w:hAnsi="黑体" w:eastAsia="黑体" w:cs="黑体"/>
                <w:b w:val="0"/>
                <w:bCs/>
                <w:color w:val="auto"/>
                <w:w w:val="90"/>
                <w:kern w:val="0"/>
                <w:sz w:val="21"/>
                <w:szCs w:val="21"/>
              </w:rPr>
              <w:t>湖泊水面</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黑体" w:hAnsi="黑体" w:eastAsia="黑体" w:cs="黑体"/>
                <w:b w:val="0"/>
                <w:bCs/>
                <w:color w:val="auto"/>
                <w:w w:val="90"/>
                <w:kern w:val="0"/>
                <w:sz w:val="21"/>
                <w:szCs w:val="21"/>
              </w:rPr>
              <w:t>坑塘水面</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黑体" w:hAnsi="黑体" w:eastAsia="黑体" w:cs="黑体"/>
                <w:b w:val="0"/>
                <w:bCs/>
                <w:color w:val="auto"/>
                <w:w w:val="90"/>
                <w:kern w:val="0"/>
                <w:sz w:val="21"/>
                <w:szCs w:val="21"/>
              </w:rPr>
              <w:t>内陆滩涂</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黑体" w:hAnsi="黑体" w:eastAsia="黑体" w:cs="黑体"/>
                <w:b w:val="0"/>
                <w:bCs/>
                <w:color w:val="auto"/>
                <w:w w:val="90"/>
                <w:kern w:val="0"/>
                <w:sz w:val="21"/>
                <w:szCs w:val="21"/>
              </w:rPr>
              <w:t>森林沼泽</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黑体" w:hAnsi="黑体" w:eastAsia="黑体" w:cs="黑体"/>
                <w:b w:val="0"/>
                <w:bCs/>
                <w:color w:val="auto"/>
                <w:w w:val="90"/>
                <w:kern w:val="0"/>
                <w:sz w:val="21"/>
                <w:szCs w:val="21"/>
              </w:rPr>
              <w:t>水库水面</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黑体" w:hAnsi="黑体" w:eastAsia="黑体" w:cs="黑体"/>
                <w:b w:val="0"/>
                <w:bCs/>
                <w:color w:val="auto"/>
                <w:w w:val="90"/>
                <w:kern w:val="0"/>
                <w:sz w:val="21"/>
                <w:szCs w:val="21"/>
              </w:rPr>
            </w:pPr>
            <w:r>
              <w:rPr>
                <w:rFonts w:hint="eastAsia" w:ascii="黑体" w:hAnsi="黑体" w:eastAsia="黑体" w:cs="黑体"/>
                <w:b w:val="0"/>
                <w:bCs/>
                <w:color w:val="auto"/>
                <w:w w:val="90"/>
                <w:kern w:val="0"/>
                <w:sz w:val="21"/>
                <w:szCs w:val="21"/>
              </w:rPr>
              <w:t>沼泽</w:t>
            </w:r>
          </w:p>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黑体" w:hAnsi="黑体" w:eastAsia="黑体" w:cs="黑体"/>
                <w:b w:val="0"/>
                <w:bCs/>
                <w:color w:val="auto"/>
                <w:w w:val="90"/>
                <w:kern w:val="0"/>
                <w:sz w:val="21"/>
                <w:szCs w:val="21"/>
              </w:rPr>
              <w:t>草地</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黑体" w:hAnsi="黑体" w:eastAsia="黑体" w:cs="黑体"/>
                <w:b w:val="0"/>
                <w:bCs/>
                <w:color w:val="auto"/>
                <w:w w:val="90"/>
                <w:kern w:val="0"/>
                <w:sz w:val="21"/>
                <w:szCs w:val="21"/>
              </w:rPr>
              <w:t>沼泽地</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0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黑体" w:hAnsi="黑体" w:eastAsia="黑体" w:cs="黑体"/>
                <w:b w:val="0"/>
                <w:bCs/>
                <w:color w:val="auto"/>
                <w:w w:val="90"/>
                <w:kern w:val="0"/>
                <w:sz w:val="21"/>
                <w:szCs w:val="21"/>
              </w:rPr>
              <w:t>总计</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lang w:val="en-US" w:eastAsia="zh-CN" w:bidi="mn-Mong-CN"/>
              </w:rPr>
            </w:pPr>
            <w:r>
              <w:rPr>
                <w:rFonts w:hint="eastAsia" w:ascii="宋体" w:hAnsi="宋体" w:eastAsia="宋体" w:cs="宋体"/>
                <w:color w:val="auto"/>
                <w:w w:val="90"/>
                <w:kern w:val="0"/>
                <w:sz w:val="21"/>
                <w:szCs w:val="21"/>
              </w:rPr>
              <w:t>兴</w:t>
            </w:r>
            <w:r>
              <w:rPr>
                <w:rFonts w:hint="eastAsia" w:ascii="宋体" w:hAnsi="宋体" w:eastAsia="宋体" w:cs="宋体"/>
                <w:color w:val="auto"/>
                <w:w w:val="90"/>
                <w:kern w:val="0"/>
                <w:sz w:val="21"/>
                <w:szCs w:val="21"/>
                <w:lang w:val="en-US" w:eastAsia="zh-CN"/>
              </w:rPr>
              <w:t xml:space="preserve">  </w:t>
            </w:r>
            <w:r>
              <w:rPr>
                <w:rFonts w:hint="eastAsia" w:ascii="宋体" w:hAnsi="宋体" w:eastAsia="宋体" w:cs="宋体"/>
                <w:color w:val="auto"/>
                <w:w w:val="90"/>
                <w:kern w:val="0"/>
                <w:sz w:val="21"/>
                <w:szCs w:val="21"/>
              </w:rPr>
              <w:t>安</w:t>
            </w:r>
            <w:r>
              <w:rPr>
                <w:rFonts w:hint="eastAsia" w:ascii="宋体" w:hAnsi="宋体" w:eastAsia="宋体" w:cs="宋体"/>
                <w:color w:val="auto"/>
                <w:w w:val="90"/>
                <w:kern w:val="0"/>
                <w:sz w:val="21"/>
                <w:szCs w:val="21"/>
                <w:lang w:val="en-US" w:eastAsia="zh-CN"/>
              </w:rPr>
              <w:t xml:space="preserve">  </w:t>
            </w:r>
            <w:r>
              <w:rPr>
                <w:rFonts w:hint="eastAsia" w:ascii="宋体" w:hAnsi="宋体" w:eastAsia="宋体" w:cs="宋体"/>
                <w:color w:val="auto"/>
                <w:w w:val="90"/>
                <w:kern w:val="0"/>
                <w:sz w:val="21"/>
                <w:szCs w:val="21"/>
              </w:rPr>
              <w:t>盟</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0.51</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0.39</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2.76</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0.39</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1.08</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2.99</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1.68</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1.52</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12.09</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0.05</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23.45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lang w:val="en-US" w:eastAsia="zh-CN" w:bidi="mn-Mong-CN"/>
              </w:rPr>
            </w:pPr>
            <w:r>
              <w:rPr>
                <w:rFonts w:hint="eastAsia" w:ascii="宋体" w:hAnsi="宋体" w:eastAsia="宋体" w:cs="宋体"/>
                <w:color w:val="auto"/>
                <w:w w:val="90"/>
                <w:kern w:val="0"/>
                <w:sz w:val="21"/>
                <w:szCs w:val="21"/>
              </w:rPr>
              <w:t>通</w:t>
            </w:r>
            <w:r>
              <w:rPr>
                <w:rFonts w:hint="eastAsia" w:ascii="宋体" w:hAnsi="宋体" w:eastAsia="宋体" w:cs="宋体"/>
                <w:color w:val="auto"/>
                <w:w w:val="90"/>
                <w:kern w:val="0"/>
                <w:sz w:val="21"/>
                <w:szCs w:val="21"/>
                <w:lang w:val="en-US" w:eastAsia="zh-CN"/>
              </w:rPr>
              <w:t xml:space="preserve">  </w:t>
            </w:r>
            <w:r>
              <w:rPr>
                <w:rFonts w:hint="eastAsia" w:ascii="宋体" w:hAnsi="宋体" w:eastAsia="宋体" w:cs="宋体"/>
                <w:color w:val="auto"/>
                <w:w w:val="90"/>
                <w:kern w:val="0"/>
                <w:sz w:val="21"/>
                <w:szCs w:val="21"/>
              </w:rPr>
              <w:t>辽</w:t>
            </w:r>
            <w:r>
              <w:rPr>
                <w:rFonts w:hint="eastAsia" w:ascii="宋体" w:hAnsi="宋体" w:eastAsia="宋体" w:cs="宋体"/>
                <w:color w:val="auto"/>
                <w:w w:val="90"/>
                <w:kern w:val="0"/>
                <w:sz w:val="21"/>
                <w:szCs w:val="21"/>
                <w:lang w:val="en-US" w:eastAsia="zh-CN"/>
              </w:rPr>
              <w:t xml:space="preserve">  </w:t>
            </w:r>
            <w:r>
              <w:rPr>
                <w:rFonts w:hint="eastAsia" w:ascii="宋体" w:hAnsi="宋体" w:eastAsia="宋体" w:cs="宋体"/>
                <w:color w:val="auto"/>
                <w:w w:val="90"/>
                <w:kern w:val="0"/>
                <w:sz w:val="21"/>
                <w:szCs w:val="21"/>
              </w:rPr>
              <w:t>市</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0.70</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0.07</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1.53</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1.23</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1.42</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2.56</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0.00</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0.46</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1.13</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0.13</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9.24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rPr>
            </w:pPr>
            <w:r>
              <w:rPr>
                <w:rFonts w:hint="eastAsia" w:ascii="宋体" w:hAnsi="宋体" w:eastAsia="宋体" w:cs="宋体"/>
                <w:color w:val="auto"/>
                <w:w w:val="90"/>
                <w:kern w:val="0"/>
                <w:sz w:val="21"/>
                <w:szCs w:val="21"/>
              </w:rPr>
              <w:t>赤</w:t>
            </w:r>
            <w:r>
              <w:rPr>
                <w:rFonts w:hint="eastAsia" w:ascii="宋体" w:hAnsi="宋体" w:eastAsia="宋体" w:cs="宋体"/>
                <w:color w:val="auto"/>
                <w:w w:val="90"/>
                <w:kern w:val="0"/>
                <w:sz w:val="21"/>
                <w:szCs w:val="21"/>
                <w:lang w:val="en-US" w:eastAsia="zh-CN"/>
              </w:rPr>
              <w:t xml:space="preserve">  </w:t>
            </w:r>
            <w:r>
              <w:rPr>
                <w:rFonts w:hint="eastAsia" w:ascii="宋体" w:hAnsi="宋体" w:eastAsia="宋体" w:cs="宋体"/>
                <w:color w:val="auto"/>
                <w:w w:val="90"/>
                <w:kern w:val="0"/>
                <w:sz w:val="21"/>
                <w:szCs w:val="21"/>
              </w:rPr>
              <w:t>峰</w:t>
            </w:r>
            <w:r>
              <w:rPr>
                <w:rFonts w:hint="eastAsia" w:ascii="宋体" w:hAnsi="宋体" w:eastAsia="宋体" w:cs="宋体"/>
                <w:color w:val="auto"/>
                <w:w w:val="90"/>
                <w:kern w:val="0"/>
                <w:sz w:val="21"/>
                <w:szCs w:val="21"/>
                <w:lang w:val="en-US" w:eastAsia="zh-CN"/>
              </w:rPr>
              <w:t xml:space="preserve">  </w:t>
            </w:r>
            <w:r>
              <w:rPr>
                <w:rFonts w:hint="eastAsia" w:ascii="宋体" w:hAnsi="宋体" w:eastAsia="宋体" w:cs="宋体"/>
                <w:color w:val="auto"/>
                <w:w w:val="90"/>
                <w:kern w:val="0"/>
                <w:sz w:val="21"/>
                <w:szCs w:val="21"/>
              </w:rPr>
              <w:t>市</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0.64</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0.93</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5.06</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2.35</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0.30</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3.71</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0.01</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1.02</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0.53</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1.90</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16.47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lang w:val="en-US" w:eastAsia="zh-CN" w:bidi="mn-Mong-CN"/>
              </w:rPr>
            </w:pPr>
            <w:r>
              <w:rPr>
                <w:rFonts w:hint="eastAsia" w:ascii="宋体" w:hAnsi="宋体" w:eastAsia="宋体" w:cs="宋体"/>
                <w:color w:val="auto"/>
                <w:w w:val="90"/>
                <w:kern w:val="0"/>
                <w:sz w:val="21"/>
                <w:szCs w:val="21"/>
              </w:rPr>
              <w:t>锡林郭勒盟</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0.04</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0.03</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1.23</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2.35</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2.80</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60.72</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0.00</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1.11</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18.97</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0.21</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87.47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lang w:val="en-US" w:eastAsia="zh-CN" w:bidi="mn-Mong-CN"/>
              </w:rPr>
            </w:pPr>
            <w:r>
              <w:rPr>
                <w:rFonts w:hint="eastAsia" w:ascii="宋体" w:hAnsi="宋体" w:eastAsia="宋体" w:cs="宋体"/>
                <w:color w:val="auto"/>
                <w:w w:val="90"/>
                <w:kern w:val="0"/>
                <w:sz w:val="21"/>
                <w:szCs w:val="21"/>
              </w:rPr>
              <w:t>乌兰察布市</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0.17</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0.00</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1.04</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1.32</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0.69</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2.97</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0.00</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0.18</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0.28</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0.00</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6.65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lang w:val="en-US" w:eastAsia="zh-CN" w:bidi="mn-Mong-CN"/>
              </w:rPr>
            </w:pPr>
            <w:r>
              <w:rPr>
                <w:rFonts w:hint="eastAsia" w:ascii="宋体" w:hAnsi="宋体" w:eastAsia="宋体" w:cs="宋体"/>
                <w:color w:val="auto"/>
                <w:w w:val="90"/>
                <w:kern w:val="0"/>
                <w:sz w:val="21"/>
                <w:szCs w:val="21"/>
              </w:rPr>
              <w:t>鄂尔多斯市</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0.79</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0.00</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5.73</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1.70</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2.02</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2.16</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0.00</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0.31</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0.54</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1.11</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14.37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rPr>
            </w:pPr>
            <w:r>
              <w:rPr>
                <w:rFonts w:hint="eastAsia" w:ascii="宋体" w:hAnsi="宋体" w:eastAsia="宋体" w:cs="宋体"/>
                <w:color w:val="auto"/>
                <w:w w:val="90"/>
                <w:kern w:val="0"/>
                <w:sz w:val="21"/>
                <w:szCs w:val="21"/>
              </w:rPr>
              <w:t>巴彦淖尔市</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8.62</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0.03</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1.46</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4.26</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1.10</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1.32</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0.00</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0.22</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0.96</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0.00</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17.97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lang w:val="en-US" w:eastAsia="zh-CN" w:bidi="mn-Mong-CN"/>
              </w:rPr>
            </w:pPr>
            <w:r>
              <w:rPr>
                <w:rFonts w:hint="eastAsia" w:ascii="宋体" w:hAnsi="宋体" w:eastAsia="宋体" w:cs="宋体"/>
                <w:color w:val="auto"/>
                <w:w w:val="90"/>
                <w:kern w:val="0"/>
                <w:sz w:val="21"/>
                <w:szCs w:val="21"/>
              </w:rPr>
              <w:t>乌</w:t>
            </w:r>
            <w:r>
              <w:rPr>
                <w:rFonts w:hint="eastAsia" w:ascii="宋体" w:hAnsi="宋体" w:eastAsia="宋体" w:cs="宋体"/>
                <w:color w:val="auto"/>
                <w:w w:val="90"/>
                <w:kern w:val="0"/>
                <w:sz w:val="21"/>
                <w:szCs w:val="21"/>
                <w:lang w:val="en-US" w:eastAsia="zh-CN"/>
              </w:rPr>
              <w:t xml:space="preserve">  </w:t>
            </w:r>
            <w:r>
              <w:rPr>
                <w:rFonts w:hint="eastAsia" w:ascii="宋体" w:hAnsi="宋体" w:eastAsia="宋体" w:cs="宋体"/>
                <w:color w:val="auto"/>
                <w:w w:val="90"/>
                <w:kern w:val="0"/>
                <w:sz w:val="21"/>
                <w:szCs w:val="21"/>
              </w:rPr>
              <w:t>海</w:t>
            </w:r>
            <w:r>
              <w:rPr>
                <w:rFonts w:hint="eastAsia" w:ascii="宋体" w:hAnsi="宋体" w:eastAsia="宋体" w:cs="宋体"/>
                <w:color w:val="auto"/>
                <w:w w:val="90"/>
                <w:kern w:val="0"/>
                <w:sz w:val="21"/>
                <w:szCs w:val="21"/>
                <w:lang w:val="en-US" w:eastAsia="zh-CN"/>
              </w:rPr>
              <w:t xml:space="preserve">  </w:t>
            </w:r>
            <w:r>
              <w:rPr>
                <w:rFonts w:hint="eastAsia" w:ascii="宋体" w:hAnsi="宋体" w:eastAsia="宋体" w:cs="宋体"/>
                <w:color w:val="auto"/>
                <w:w w:val="90"/>
                <w:kern w:val="0"/>
                <w:sz w:val="21"/>
                <w:szCs w:val="21"/>
              </w:rPr>
              <w:t>市</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0.04</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0.01</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0.76</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0.03</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0.05</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0.19</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0.00</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0.00</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0.07</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0.01</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lang w:val="en-US" w:eastAsia="zh-CN" w:bidi="mn-Mong-CN"/>
              </w:rPr>
            </w:pPr>
            <w:r>
              <w:rPr>
                <w:rFonts w:hint="eastAsia" w:ascii="宋体" w:hAnsi="宋体" w:eastAsia="宋体" w:cs="宋体"/>
                <w:color w:val="auto"/>
                <w:spacing w:val="-17"/>
                <w:w w:val="90"/>
                <w:kern w:val="0"/>
                <w:sz w:val="21"/>
                <w:szCs w:val="21"/>
              </w:rPr>
              <w:t>1.17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16" w:hRule="exac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rPr>
            </w:pPr>
            <w:r>
              <w:rPr>
                <w:rFonts w:hint="eastAsia"/>
                <w:spacing w:val="23"/>
                <w:w w:val="90"/>
              </w:rPr>
              <w:t>阿拉善盟</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0.25</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0.14</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1.60</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1.58</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0.64</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2.40</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0.00</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0.14</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0.78</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6.91</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14.43</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Ex>
        <w:trPr>
          <w:trHeight w:val="454" w:hRule="exact"/>
          <w:jc w:val="center"/>
        </w:trPr>
        <w:tc>
          <w:tcPr>
            <w:tcW w:w="116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w w:val="90"/>
                <w:kern w:val="0"/>
                <w:sz w:val="21"/>
                <w:szCs w:val="21"/>
              </w:rPr>
            </w:pPr>
            <w:r>
              <w:rPr>
                <w:rFonts w:hint="eastAsia" w:ascii="宋体" w:hAnsi="宋体" w:eastAsia="宋体" w:cs="宋体"/>
                <w:color w:val="auto"/>
                <w:w w:val="90"/>
                <w:kern w:val="0"/>
                <w:sz w:val="21"/>
                <w:szCs w:val="21"/>
              </w:rPr>
              <w:t>总</w:t>
            </w:r>
            <w:r>
              <w:rPr>
                <w:rFonts w:hint="eastAsia" w:ascii="宋体" w:hAnsi="宋体" w:eastAsia="宋体" w:cs="宋体"/>
                <w:color w:val="auto"/>
                <w:w w:val="90"/>
                <w:kern w:val="0"/>
                <w:sz w:val="21"/>
                <w:szCs w:val="21"/>
                <w:lang w:val="en-US" w:eastAsia="zh-CN"/>
              </w:rPr>
              <w:t xml:space="preserve">    </w:t>
            </w:r>
            <w:r>
              <w:rPr>
                <w:rFonts w:hint="eastAsia" w:ascii="宋体" w:hAnsi="宋体" w:eastAsia="宋体" w:cs="宋体"/>
                <w:color w:val="auto"/>
                <w:w w:val="90"/>
                <w:kern w:val="0"/>
                <w:sz w:val="21"/>
                <w:szCs w:val="21"/>
              </w:rPr>
              <w:t>计</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13.74</w:t>
            </w:r>
          </w:p>
        </w:tc>
        <w:tc>
          <w:tcPr>
            <w:tcW w:w="74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21.50</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31.29</w:t>
            </w:r>
          </w:p>
        </w:tc>
        <w:tc>
          <w:tcPr>
            <w:tcW w:w="714"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39.68</w:t>
            </w:r>
          </w:p>
        </w:tc>
        <w:tc>
          <w:tcPr>
            <w:tcW w:w="68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13.38</w:t>
            </w:r>
          </w:p>
        </w:tc>
        <w:tc>
          <w:tcPr>
            <w:tcW w:w="760"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93.17</w:t>
            </w:r>
          </w:p>
        </w:tc>
        <w:tc>
          <w:tcPr>
            <w:tcW w:w="741"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70.13</w:t>
            </w:r>
          </w:p>
        </w:tc>
        <w:tc>
          <w:tcPr>
            <w:tcW w:w="66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7.19</w:t>
            </w:r>
          </w:p>
        </w:tc>
        <w:tc>
          <w:tcPr>
            <w:tcW w:w="732"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183.62</w:t>
            </w:r>
          </w:p>
        </w:tc>
        <w:tc>
          <w:tcPr>
            <w:tcW w:w="643"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11.82</w:t>
            </w:r>
          </w:p>
        </w:tc>
        <w:tc>
          <w:tcPr>
            <w:tcW w:w="776" w:type="dxa"/>
            <w:tcBorders>
              <w:tl2br w:val="nil"/>
              <w:tr2bl w:val="nil"/>
            </w:tcBorders>
            <w:noWrap/>
            <w:vAlign w:val="center"/>
          </w:tcPr>
          <w:p>
            <w:pPr>
              <w:keepNext w:val="0"/>
              <w:keepLines w:val="0"/>
              <w:pageBreakBefore w:val="0"/>
              <w:widowControl/>
              <w:kinsoku/>
              <w:wordWrap/>
              <w:overflowPunct/>
              <w:topLinePunct w:val="0"/>
              <w:autoSpaceDE/>
              <w:autoSpaceDN/>
              <w:bidi w:val="0"/>
              <w:adjustRightInd/>
              <w:snapToGrid/>
              <w:spacing w:line="360" w:lineRule="exact"/>
              <w:ind w:firstLine="0" w:firstLineChars="0"/>
              <w:jc w:val="center"/>
              <w:textAlignment w:val="auto"/>
              <w:rPr>
                <w:rFonts w:hint="eastAsia" w:ascii="宋体" w:hAnsi="宋体" w:eastAsia="宋体" w:cs="宋体"/>
                <w:color w:val="auto"/>
                <w:spacing w:val="-17"/>
                <w:w w:val="90"/>
                <w:kern w:val="0"/>
                <w:sz w:val="21"/>
                <w:szCs w:val="21"/>
              </w:rPr>
            </w:pPr>
            <w:r>
              <w:rPr>
                <w:rFonts w:hint="eastAsia" w:ascii="宋体" w:hAnsi="宋体" w:eastAsia="宋体" w:cs="宋体"/>
                <w:color w:val="auto"/>
                <w:spacing w:val="-17"/>
                <w:w w:val="90"/>
                <w:kern w:val="0"/>
                <w:sz w:val="21"/>
                <w:szCs w:val="21"/>
              </w:rPr>
              <w:t>485.52</w:t>
            </w:r>
          </w:p>
        </w:tc>
      </w:tr>
    </w:tbl>
    <w:p>
      <w:pPr>
        <w:keepNext w:val="0"/>
        <w:keepLines w:val="0"/>
        <w:pageBreakBefore w:val="0"/>
        <w:widowControl w:val="0"/>
        <w:kinsoku/>
        <w:wordWrap/>
        <w:overflowPunct/>
        <w:topLinePunct w:val="0"/>
        <w:autoSpaceDE/>
        <w:autoSpaceDN/>
        <w:bidi w:val="0"/>
        <w:adjustRightInd/>
        <w:snapToGrid/>
        <w:spacing w:line="20" w:lineRule="exact"/>
        <w:textAlignment w:val="auto"/>
        <w:rPr>
          <w:rFonts w:hint="eastAsia" w:ascii="宋体" w:hAnsi="宋体" w:eastAsia="宋体" w:cs="宋体"/>
        </w:rPr>
      </w:pPr>
    </w:p>
    <w:p>
      <w:pPr>
        <w:spacing w:line="560" w:lineRule="exact"/>
        <w:ind w:firstLine="0" w:firstLineChars="0"/>
        <w:jc w:val="center"/>
        <w:rPr>
          <w:rFonts w:hint="eastAsia" w:ascii="方正黑体_GBK" w:hAnsi="方正黑体_GBK" w:eastAsia="方正黑体_GBK" w:cs="方正黑体_GBK"/>
          <w:b w:val="0"/>
          <w:bCs w:val="0"/>
          <w:color w:val="auto"/>
          <w:sz w:val="30"/>
          <w:szCs w:val="30"/>
        </w:rPr>
      </w:pPr>
    </w:p>
    <w:p>
      <w:pPr>
        <w:spacing w:line="560" w:lineRule="exact"/>
        <w:ind w:firstLine="0" w:firstLineChars="0"/>
        <w:jc w:val="center"/>
        <w:rPr>
          <w:rFonts w:hint="eastAsia" w:ascii="方正黑体_GBK" w:hAnsi="方正黑体_GBK" w:eastAsia="方正黑体_GBK" w:cs="方正黑体_GBK"/>
          <w:b w:val="0"/>
          <w:bCs w:val="0"/>
          <w:color w:val="auto"/>
          <w:sz w:val="32"/>
          <w:szCs w:val="32"/>
        </w:rPr>
      </w:pPr>
      <w:r>
        <w:rPr>
          <w:rFonts w:hint="eastAsia" w:ascii="方正黑体_GBK" w:hAnsi="方正黑体_GBK" w:eastAsia="方正黑体_GBK" w:cs="方正黑体_GBK"/>
          <w:b w:val="0"/>
          <w:bCs w:val="0"/>
          <w:color w:val="auto"/>
          <w:sz w:val="32"/>
          <w:szCs w:val="32"/>
        </w:rPr>
        <w:t xml:space="preserve">图1-1 </w:t>
      </w:r>
      <w:r>
        <w:rPr>
          <w:rFonts w:hint="eastAsia" w:ascii="方正黑体_GBK" w:hAnsi="方正黑体_GBK" w:eastAsia="方正黑体_GBK" w:cs="方正黑体_GBK"/>
          <w:b w:val="0"/>
          <w:bCs w:val="0"/>
          <w:color w:val="auto"/>
          <w:sz w:val="32"/>
          <w:szCs w:val="32"/>
          <w:lang w:val="en-US" w:eastAsia="zh-CN"/>
        </w:rPr>
        <w:t xml:space="preserve"> </w:t>
      </w:r>
      <w:r>
        <w:rPr>
          <w:rFonts w:hint="eastAsia" w:ascii="方正黑体_GBK" w:hAnsi="方正黑体_GBK" w:eastAsia="方正黑体_GBK" w:cs="方正黑体_GBK"/>
          <w:b w:val="0"/>
          <w:bCs w:val="0"/>
          <w:color w:val="auto"/>
          <w:sz w:val="32"/>
          <w:szCs w:val="32"/>
        </w:rPr>
        <w:t>各湿地型占自治区湿地总面积比例</w:t>
      </w:r>
    </w:p>
    <w:p>
      <w:pPr>
        <w:pStyle w:val="4"/>
        <w:keepNext w:val="0"/>
        <w:keepLines w:val="0"/>
        <w:pageBreakBefore w:val="0"/>
        <w:widowControl w:val="0"/>
        <w:kinsoku/>
        <w:wordWrap/>
        <w:overflowPunct/>
        <w:topLinePunct/>
        <w:autoSpaceDE/>
        <w:autoSpaceDN/>
        <w:bidi w:val="0"/>
        <w:adjustRightInd w:val="0"/>
        <w:spacing w:line="580" w:lineRule="exact"/>
        <w:ind w:firstLine="640" w:firstLineChars="200"/>
        <w:textAlignment w:val="auto"/>
        <w:rPr>
          <w:rFonts w:hint="eastAsia" w:ascii="方正仿宋_GBK" w:hAnsi="方正仿宋_GBK" w:eastAsia="方正仿宋_GBK" w:cs="方正仿宋_GBK"/>
          <w:b w:val="0"/>
          <w:bCs w:val="0"/>
          <w:color w:val="auto"/>
          <w:kern w:val="0"/>
          <w:sz w:val="32"/>
          <w:szCs w:val="32"/>
        </w:rPr>
      </w:pPr>
      <w:r>
        <w:rPr>
          <w:rFonts w:hint="default" w:ascii="方正仿宋_GBK" w:hAnsi="方正仿宋_GBK" w:eastAsia="方正仿宋_GBK" w:cs="方正仿宋_GBK"/>
          <w:b w:val="0"/>
          <w:bCs w:val="0"/>
          <w:color w:val="auto"/>
          <w:sz w:val="32"/>
          <w:szCs w:val="32"/>
          <w:lang w:val="en-US" w:eastAsia="zh-CN"/>
        </w:rPr>
        <w:drawing>
          <wp:anchor distT="0" distB="0" distL="114300" distR="114300" simplePos="0" relativeHeight="251658240" behindDoc="0" locked="0" layoutInCell="1" allowOverlap="1">
            <wp:simplePos x="0" y="0"/>
            <wp:positionH relativeFrom="column">
              <wp:posOffset>419735</wp:posOffset>
            </wp:positionH>
            <wp:positionV relativeFrom="paragraph">
              <wp:posOffset>183515</wp:posOffset>
            </wp:positionV>
            <wp:extent cx="4849495" cy="2949575"/>
            <wp:effectExtent l="0" t="0" r="8255" b="3175"/>
            <wp:wrapTopAndBottom/>
            <wp:docPr id="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6"/>
                    <pic:cNvPicPr>
                      <a:picLocks noChangeAspect="1"/>
                    </pic:cNvPicPr>
                  </pic:nvPicPr>
                  <pic:blipFill>
                    <a:blip r:embed="rId14"/>
                    <a:stretch>
                      <a:fillRect/>
                    </a:stretch>
                  </pic:blipFill>
                  <pic:spPr>
                    <a:xfrm>
                      <a:off x="0" y="0"/>
                      <a:ext cx="4849495" cy="2949575"/>
                    </a:xfrm>
                    <a:prstGeom prst="rect">
                      <a:avLst/>
                    </a:prstGeom>
                    <a:noFill/>
                    <a:ln>
                      <a:noFill/>
                    </a:ln>
                  </pic:spPr>
                </pic:pic>
              </a:graphicData>
            </a:graphic>
          </wp:anchor>
        </w:drawing>
      </w:r>
      <w:r>
        <w:rPr>
          <w:rFonts w:hint="eastAsia" w:ascii="方正仿宋_GBK" w:hAnsi="方正仿宋_GBK" w:eastAsia="方正仿宋_GBK" w:cs="方正仿宋_GBK"/>
          <w:b w:val="0"/>
          <w:bCs w:val="0"/>
          <w:color w:val="auto"/>
          <w:sz w:val="32"/>
          <w:szCs w:val="32"/>
          <w:lang w:val="en-US" w:eastAsia="zh-CN"/>
        </w:rPr>
        <w:t>2</w:t>
      </w:r>
      <w:r>
        <w:rPr>
          <w:rFonts w:hint="eastAsia" w:ascii="方正黑体_GBK" w:hAnsi="方正黑体_GBK" w:eastAsia="方正黑体_GBK" w:cs="方正黑体_GBK"/>
          <w:b w:val="0"/>
          <w:bCs w:val="0"/>
          <w:color w:val="auto"/>
          <w:sz w:val="30"/>
          <w:szCs w:val="30"/>
          <w:lang w:val="en-US" w:eastAsia="zh-CN"/>
        </w:rPr>
        <w:t>.</w:t>
      </w:r>
      <w:r>
        <w:rPr>
          <w:rFonts w:hint="eastAsia" w:ascii="方正仿宋_GBK" w:hAnsi="方正仿宋_GBK" w:eastAsia="方正仿宋_GBK" w:cs="方正仿宋_GBK"/>
          <w:b w:val="0"/>
          <w:bCs w:val="0"/>
          <w:color w:val="auto"/>
          <w:sz w:val="32"/>
          <w:szCs w:val="32"/>
        </w:rPr>
        <w:t>湿地分布特点</w:t>
      </w:r>
      <w:r>
        <w:rPr>
          <w:rFonts w:hint="eastAsia" w:ascii="方正仿宋_GBK" w:hAnsi="方正仿宋_GBK" w:eastAsia="方正仿宋_GBK" w:cs="方正仿宋_GBK"/>
          <w:b w:val="0"/>
          <w:bCs w:val="0"/>
          <w:color w:val="auto"/>
          <w:sz w:val="32"/>
          <w:szCs w:val="32"/>
          <w:lang w:eastAsia="zh-CN"/>
        </w:rPr>
        <w:t>。一是</w:t>
      </w:r>
      <w:r>
        <w:rPr>
          <w:rFonts w:hint="eastAsia" w:ascii="方正仿宋_GBK" w:hAnsi="方正仿宋_GBK" w:eastAsia="方正仿宋_GBK" w:cs="方正仿宋_GBK"/>
          <w:b w:val="0"/>
          <w:bCs w:val="0"/>
          <w:color w:val="auto"/>
          <w:sz w:val="32"/>
          <w:szCs w:val="32"/>
        </w:rPr>
        <w:t>湿地面积大。内蒙古湿地面积485.52</w:t>
      </w:r>
      <w:r>
        <w:rPr>
          <w:rFonts w:hint="eastAsia" w:ascii="方正仿宋_GBK" w:hAnsi="方正仿宋_GBK" w:eastAsia="方正仿宋_GBK" w:cs="方正仿宋_GBK"/>
          <w:b w:val="0"/>
          <w:bCs w:val="0"/>
          <w:color w:val="auto"/>
          <w:spacing w:val="-6"/>
          <w:sz w:val="32"/>
          <w:szCs w:val="32"/>
        </w:rPr>
        <w:t>万公顷，占</w:t>
      </w:r>
      <w:r>
        <w:rPr>
          <w:rFonts w:hint="eastAsia" w:ascii="方正仿宋_GBK" w:hAnsi="方正仿宋_GBK" w:eastAsia="方正仿宋_GBK" w:cs="方正仿宋_GBK"/>
          <w:b w:val="0"/>
          <w:bCs w:val="0"/>
          <w:color w:val="auto"/>
          <w:spacing w:val="-6"/>
          <w:sz w:val="32"/>
          <w:szCs w:val="32"/>
          <w:lang w:eastAsia="zh-CN"/>
        </w:rPr>
        <w:t>全</w:t>
      </w:r>
      <w:r>
        <w:rPr>
          <w:rFonts w:hint="eastAsia" w:ascii="方正仿宋_GBK" w:hAnsi="方正仿宋_GBK" w:eastAsia="方正仿宋_GBK" w:cs="方正仿宋_GBK"/>
          <w:b w:val="0"/>
          <w:bCs w:val="0"/>
          <w:color w:val="auto"/>
          <w:spacing w:val="-6"/>
          <w:sz w:val="32"/>
          <w:szCs w:val="32"/>
        </w:rPr>
        <w:t>区国土总面积的4.10%，居全国湿地面积第</w:t>
      </w:r>
      <w:r>
        <w:rPr>
          <w:rFonts w:hint="eastAsia" w:ascii="方正仿宋_GBK" w:hAnsi="方正仿宋_GBK" w:eastAsia="方正仿宋_GBK" w:cs="方正仿宋_GBK"/>
          <w:b w:val="0"/>
          <w:bCs w:val="0"/>
          <w:color w:val="auto"/>
          <w:spacing w:val="-6"/>
          <w:sz w:val="32"/>
          <w:szCs w:val="32"/>
          <w:lang w:eastAsia="zh-CN"/>
        </w:rPr>
        <w:t>四</w:t>
      </w:r>
      <w:r>
        <w:rPr>
          <w:rFonts w:hint="eastAsia" w:ascii="方正仿宋_GBK" w:hAnsi="方正仿宋_GBK" w:eastAsia="方正仿宋_GBK" w:cs="方正仿宋_GBK"/>
          <w:b w:val="0"/>
          <w:bCs w:val="0"/>
          <w:color w:val="auto"/>
          <w:spacing w:val="-6"/>
          <w:sz w:val="32"/>
          <w:szCs w:val="32"/>
        </w:rPr>
        <w:t>位。</w:t>
      </w:r>
      <w:r>
        <w:rPr>
          <w:rFonts w:hint="eastAsia" w:ascii="方正仿宋_GBK" w:hAnsi="方正仿宋_GBK" w:eastAsia="方正仿宋_GBK" w:cs="方正仿宋_GBK"/>
          <w:b w:val="0"/>
          <w:bCs w:val="0"/>
          <w:color w:val="auto"/>
          <w:spacing w:val="-6"/>
          <w:sz w:val="32"/>
          <w:szCs w:val="32"/>
          <w:lang w:eastAsia="zh-CN"/>
        </w:rPr>
        <w:t>二</w:t>
      </w:r>
      <w:r>
        <w:rPr>
          <w:rFonts w:hint="eastAsia" w:ascii="方正仿宋_GBK" w:hAnsi="方正仿宋_GBK" w:eastAsia="方正仿宋_GBK" w:cs="方正仿宋_GBK"/>
          <w:b w:val="0"/>
          <w:bCs w:val="0"/>
          <w:color w:val="auto"/>
          <w:sz w:val="32"/>
          <w:szCs w:val="32"/>
          <w:lang w:eastAsia="zh-CN"/>
        </w:rPr>
        <w:t>是</w:t>
      </w:r>
      <w:r>
        <w:rPr>
          <w:rFonts w:hint="eastAsia" w:ascii="方正仿宋_GBK" w:hAnsi="方正仿宋_GBK" w:eastAsia="方正仿宋_GBK" w:cs="方正仿宋_GBK"/>
          <w:b w:val="0"/>
          <w:bCs w:val="0"/>
          <w:color w:val="auto"/>
          <w:sz w:val="32"/>
          <w:szCs w:val="32"/>
        </w:rPr>
        <w:t>湿地类型多样、面积差异较大。除红树林、沿海滩涂外，其余10种湿地型在自治区均有分布。其中，</w:t>
      </w:r>
      <w:r>
        <w:rPr>
          <w:rFonts w:hint="eastAsia" w:ascii="方正仿宋_GBK" w:hAnsi="方正仿宋_GBK" w:eastAsia="方正仿宋_GBK" w:cs="方正仿宋_GBK"/>
          <w:b w:val="0"/>
          <w:bCs w:val="0"/>
          <w:color w:val="auto"/>
          <w:sz w:val="32"/>
          <w:szCs w:val="32"/>
          <w:lang w:eastAsia="zh-CN"/>
        </w:rPr>
        <w:t>以</w:t>
      </w:r>
      <w:r>
        <w:rPr>
          <w:rFonts w:hint="eastAsia" w:ascii="方正仿宋_GBK" w:hAnsi="方正仿宋_GBK" w:eastAsia="方正仿宋_GBK" w:cs="方正仿宋_GBK"/>
          <w:b w:val="0"/>
          <w:bCs w:val="0"/>
          <w:color w:val="auto"/>
          <w:sz w:val="32"/>
          <w:szCs w:val="32"/>
        </w:rPr>
        <w:t>沼泽</w:t>
      </w:r>
      <w:r>
        <w:rPr>
          <w:rFonts w:hint="eastAsia" w:ascii="方正仿宋_GBK" w:hAnsi="方正仿宋_GBK" w:eastAsia="方正仿宋_GBK" w:cs="方正仿宋_GBK"/>
          <w:b w:val="0"/>
          <w:bCs w:val="0"/>
          <w:color w:val="auto"/>
          <w:sz w:val="32"/>
          <w:szCs w:val="32"/>
          <w:lang w:eastAsia="zh-CN"/>
        </w:rPr>
        <w:t>草地</w:t>
      </w:r>
      <w:r>
        <w:rPr>
          <w:rFonts w:hint="eastAsia" w:ascii="方正仿宋_GBK" w:hAnsi="方正仿宋_GBK" w:eastAsia="方正仿宋_GBK" w:cs="方正仿宋_GBK"/>
          <w:b w:val="0"/>
          <w:bCs w:val="0"/>
          <w:color w:val="auto"/>
          <w:sz w:val="32"/>
          <w:szCs w:val="32"/>
        </w:rPr>
        <w:t>为主的沼泽湿地面积最大，在大小河流、湖泊周边广泛分布</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其次是内陆滩涂和森林沼泽。</w:t>
      </w:r>
      <w:r>
        <w:rPr>
          <w:rFonts w:hint="eastAsia" w:ascii="方正仿宋_GBK" w:hAnsi="方正仿宋_GBK" w:eastAsia="方正仿宋_GBK" w:cs="方正仿宋_GBK"/>
          <w:b w:val="0"/>
          <w:bCs w:val="0"/>
          <w:color w:val="auto"/>
          <w:sz w:val="32"/>
          <w:szCs w:val="32"/>
          <w:lang w:eastAsia="zh-CN"/>
        </w:rPr>
        <w:t>三是</w:t>
      </w:r>
      <w:r>
        <w:rPr>
          <w:rFonts w:hint="eastAsia" w:ascii="方正仿宋_GBK" w:hAnsi="方正仿宋_GBK" w:eastAsia="方正仿宋_GBK" w:cs="方正仿宋_GBK"/>
          <w:b w:val="0"/>
          <w:bCs w:val="0"/>
          <w:color w:val="auto"/>
          <w:sz w:val="32"/>
          <w:szCs w:val="32"/>
        </w:rPr>
        <w:t>湿地分布不均，东西差异明显。12个盟市中，</w:t>
      </w:r>
      <w:r>
        <w:rPr>
          <w:rFonts w:hint="eastAsia" w:ascii="方正仿宋_GBK" w:hAnsi="方正仿宋_GBK" w:eastAsia="方正仿宋_GBK" w:cs="方正仿宋_GBK"/>
          <w:b w:val="0"/>
          <w:bCs w:val="0"/>
          <w:color w:val="auto"/>
          <w:spacing w:val="-6"/>
          <w:sz w:val="32"/>
          <w:szCs w:val="32"/>
        </w:rPr>
        <w:t>东部呼伦贝尔市湿地面积284.70万公顷，占</w:t>
      </w:r>
      <w:r>
        <w:rPr>
          <w:rFonts w:hint="eastAsia" w:ascii="方正仿宋_GBK" w:hAnsi="方正仿宋_GBK" w:eastAsia="方正仿宋_GBK" w:cs="方正仿宋_GBK"/>
          <w:b w:val="0"/>
          <w:bCs w:val="0"/>
          <w:color w:val="auto"/>
          <w:spacing w:val="-6"/>
          <w:sz w:val="32"/>
          <w:szCs w:val="32"/>
          <w:lang w:eastAsia="zh-CN"/>
        </w:rPr>
        <w:t>全</w:t>
      </w:r>
      <w:r>
        <w:rPr>
          <w:rFonts w:hint="eastAsia" w:ascii="方正仿宋_GBK" w:hAnsi="方正仿宋_GBK" w:eastAsia="方正仿宋_GBK" w:cs="方正仿宋_GBK"/>
          <w:b w:val="0"/>
          <w:bCs w:val="0"/>
          <w:color w:val="auto"/>
          <w:spacing w:val="-6"/>
          <w:sz w:val="32"/>
          <w:szCs w:val="32"/>
        </w:rPr>
        <w:t>区湿地面积的58.64%；</w:t>
      </w:r>
      <w:r>
        <w:rPr>
          <w:rFonts w:hint="eastAsia" w:ascii="方正仿宋_GBK" w:hAnsi="方正仿宋_GBK" w:eastAsia="方正仿宋_GBK" w:cs="方正仿宋_GBK"/>
          <w:b w:val="0"/>
          <w:bCs w:val="0"/>
          <w:color w:val="auto"/>
          <w:sz w:val="32"/>
          <w:szCs w:val="32"/>
        </w:rPr>
        <w:t>西部阿拉善盟湿地面积14.43万公顷，占</w:t>
      </w:r>
      <w:r>
        <w:rPr>
          <w:rFonts w:hint="eastAsia" w:ascii="方正仿宋_GBK" w:hAnsi="方正仿宋_GBK" w:eastAsia="方正仿宋_GBK" w:cs="方正仿宋_GBK"/>
          <w:b w:val="0"/>
          <w:bCs w:val="0"/>
          <w:color w:val="auto"/>
          <w:sz w:val="32"/>
          <w:szCs w:val="32"/>
          <w:lang w:eastAsia="zh-CN"/>
        </w:rPr>
        <w:t>全</w:t>
      </w:r>
      <w:r>
        <w:rPr>
          <w:rFonts w:hint="eastAsia" w:ascii="方正仿宋_GBK" w:hAnsi="方正仿宋_GBK" w:eastAsia="方正仿宋_GBK" w:cs="方正仿宋_GBK"/>
          <w:b w:val="0"/>
          <w:bCs w:val="0"/>
          <w:color w:val="auto"/>
          <w:sz w:val="32"/>
          <w:szCs w:val="32"/>
        </w:rPr>
        <w:t>区湿地面积的2.97%。森林沼泽、灌丛沼泽、沼泽草地等湿地集中分布在呼伦贝尔市、兴安盟</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内陆滩涂主要分布在锡林郭勒盟</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河流水面、湖泊水面等湿地集中分布在呼伦贝尔市、赤峰市、鄂尔多斯市、巴彦淖尔市</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水库水面、坑塘水面等湿地集中分布在呼伦贝尔市、兴安盟、锡林郭勒盟</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沟渠主要分布在巴彦淖尔市。</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bookmarkStart w:id="18" w:name="_Toc149727779"/>
      <w:r>
        <w:rPr>
          <w:rFonts w:hint="eastAsia" w:ascii="方正楷体_GBK" w:hAnsi="方正楷体_GBK" w:eastAsia="方正楷体_GBK" w:cs="方正楷体_GBK"/>
          <w:b w:val="0"/>
          <w:bCs w:val="0"/>
          <w:color w:val="auto"/>
          <w:sz w:val="32"/>
          <w:szCs w:val="32"/>
        </w:rPr>
        <w:t xml:space="preserve">第二节 </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内蒙古自治区湿地保护建设情况</w:t>
      </w:r>
      <w:bookmarkEnd w:id="18"/>
    </w:p>
    <w:p>
      <w:pPr>
        <w:keepNext w:val="0"/>
        <w:keepLines w:val="0"/>
        <w:pageBreakBefore w:val="0"/>
        <w:widowControl w:val="0"/>
        <w:kinsoku/>
        <w:wordWrap/>
        <w:overflowPunct/>
        <w:topLinePunct/>
        <w:autoSpaceDE/>
        <w:autoSpaceDN/>
        <w:bidi w:val="0"/>
        <w:adjustRightInd w:val="0"/>
        <w:spacing w:line="580" w:lineRule="exact"/>
        <w:ind w:firstLine="64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lang w:eastAsia="zh-CN"/>
        </w:rPr>
        <w:t>近年来，全区上下</w:t>
      </w:r>
      <w:r>
        <w:rPr>
          <w:rFonts w:hint="eastAsia" w:ascii="方正仿宋_GBK" w:hAnsi="方正仿宋_GBK" w:eastAsia="方正仿宋_GBK" w:cs="方正仿宋_GBK"/>
          <w:color w:val="auto"/>
          <w:sz w:val="32"/>
          <w:szCs w:val="32"/>
        </w:rPr>
        <w:t>深入贯彻习近平生态文明思想，</w:t>
      </w:r>
      <w:r>
        <w:rPr>
          <w:rFonts w:hint="eastAsia" w:ascii="方正仿宋_GBK" w:hAnsi="方正仿宋_GBK" w:eastAsia="方正仿宋_GBK" w:cs="方正仿宋_GBK"/>
          <w:color w:val="auto"/>
          <w:sz w:val="32"/>
          <w:szCs w:val="32"/>
          <w:lang w:val="en-US" w:eastAsia="zh-CN"/>
        </w:rPr>
        <w:t>全面</w:t>
      </w:r>
      <w:r>
        <w:rPr>
          <w:rFonts w:hint="eastAsia" w:ascii="方正仿宋_GBK" w:hAnsi="方正仿宋_GBK" w:eastAsia="方正仿宋_GBK" w:cs="方正仿宋_GBK"/>
          <w:color w:val="auto"/>
          <w:sz w:val="32"/>
          <w:szCs w:val="32"/>
        </w:rPr>
        <w:t>贯彻习近平总书记</w:t>
      </w:r>
      <w:r>
        <w:rPr>
          <w:rFonts w:hint="eastAsia" w:ascii="方正仿宋_GBK" w:hAnsi="方正仿宋_GBK" w:eastAsia="方正仿宋_GBK" w:cs="方正仿宋_GBK"/>
          <w:color w:val="auto"/>
          <w:sz w:val="32"/>
          <w:szCs w:val="32"/>
          <w:lang w:eastAsia="zh-CN"/>
        </w:rPr>
        <w:t>对</w:t>
      </w:r>
      <w:r>
        <w:rPr>
          <w:rFonts w:hint="eastAsia" w:ascii="方正仿宋_GBK" w:hAnsi="方正仿宋_GBK" w:eastAsia="方正仿宋_GBK" w:cs="方正仿宋_GBK"/>
          <w:color w:val="auto"/>
          <w:sz w:val="32"/>
          <w:szCs w:val="32"/>
        </w:rPr>
        <w:t>内蒙古的重要指示精神</w:t>
      </w:r>
      <w:r>
        <w:rPr>
          <w:rFonts w:hint="eastAsia" w:ascii="方正仿宋_GBK" w:hAnsi="方正仿宋_GBK" w:eastAsia="方正仿宋_GBK" w:cs="方正仿宋_GBK"/>
          <w:color w:val="auto"/>
          <w:sz w:val="32"/>
          <w:szCs w:val="32"/>
          <w:lang w:eastAsia="zh-CN"/>
        </w:rPr>
        <w:t>，认真</w:t>
      </w:r>
      <w:r>
        <w:rPr>
          <w:rFonts w:hint="eastAsia" w:ascii="方正仿宋_GBK" w:hAnsi="方正仿宋_GBK" w:eastAsia="方正仿宋_GBK" w:cs="方正仿宋_GBK"/>
          <w:color w:val="auto"/>
          <w:sz w:val="32"/>
          <w:szCs w:val="32"/>
        </w:rPr>
        <w:t>落实</w:t>
      </w:r>
      <w:r>
        <w:rPr>
          <w:rFonts w:hint="eastAsia" w:ascii="方正仿宋_GBK" w:hAnsi="方正仿宋_GBK" w:eastAsia="方正仿宋_GBK" w:cs="方正仿宋_GBK"/>
          <w:color w:val="auto"/>
          <w:sz w:val="32"/>
          <w:szCs w:val="32"/>
          <w:lang w:eastAsia="zh-CN"/>
        </w:rPr>
        <w:t>习近平总书记对</w:t>
      </w:r>
      <w:r>
        <w:rPr>
          <w:rFonts w:hint="eastAsia" w:ascii="方正仿宋_GBK" w:hAnsi="方正仿宋_GBK" w:eastAsia="方正仿宋_GBK" w:cs="方正仿宋_GBK"/>
          <w:color w:val="auto"/>
          <w:sz w:val="32"/>
          <w:szCs w:val="32"/>
        </w:rPr>
        <w:t>“一湖两海”</w:t>
      </w:r>
      <w:r>
        <w:rPr>
          <w:rFonts w:hint="eastAsia" w:ascii="方正仿宋_GBK" w:hAnsi="方正仿宋_GBK" w:eastAsia="方正仿宋_GBK" w:cs="方正仿宋_GBK"/>
          <w:b w:val="0"/>
          <w:bCs w:val="0"/>
          <w:color w:val="auto"/>
          <w:sz w:val="32"/>
          <w:szCs w:val="32"/>
        </w:rPr>
        <w:t>和察汗淖尔</w:t>
      </w:r>
      <w:r>
        <w:rPr>
          <w:rFonts w:hint="eastAsia" w:ascii="方正仿宋_GBK" w:hAnsi="方正仿宋_GBK" w:eastAsia="方正仿宋_GBK" w:cs="方正仿宋_GBK"/>
          <w:color w:val="auto"/>
          <w:sz w:val="32"/>
          <w:szCs w:val="32"/>
          <w:lang w:eastAsia="zh-CN"/>
        </w:rPr>
        <w:t>的</w:t>
      </w:r>
      <w:r>
        <w:rPr>
          <w:rFonts w:hint="eastAsia" w:ascii="方正仿宋_GBK" w:hAnsi="方正仿宋_GBK" w:eastAsia="方正仿宋_GBK" w:cs="方正仿宋_GBK"/>
          <w:color w:val="auto"/>
          <w:sz w:val="32"/>
          <w:szCs w:val="32"/>
        </w:rPr>
        <w:t>重要指示批示精神，坚持不懈地开展湿地保护修复工作，全区湿地质量逐步恢复，湿地生态环境得到改善，为保护生物多样性</w:t>
      </w:r>
      <w:r>
        <w:rPr>
          <w:rFonts w:hint="eastAsia" w:ascii="方正仿宋_GBK" w:hAnsi="方正仿宋_GBK" w:eastAsia="方正仿宋_GBK" w:cs="方正仿宋_GBK"/>
          <w:color w:val="auto"/>
          <w:sz w:val="32"/>
          <w:szCs w:val="32"/>
          <w:lang w:eastAsia="zh-CN"/>
        </w:rPr>
        <w:t>、</w:t>
      </w:r>
      <w:r>
        <w:rPr>
          <w:rFonts w:hint="eastAsia" w:ascii="方正仿宋_GBK" w:hAnsi="方正仿宋_GBK" w:eastAsia="方正仿宋_GBK" w:cs="方正仿宋_GBK"/>
          <w:color w:val="auto"/>
          <w:sz w:val="32"/>
          <w:szCs w:val="32"/>
        </w:rPr>
        <w:t>发挥生态系统功能效益</w:t>
      </w:r>
      <w:r>
        <w:rPr>
          <w:rFonts w:hint="eastAsia" w:ascii="方正仿宋_GBK" w:hAnsi="方正仿宋_GBK" w:eastAsia="方正仿宋_GBK" w:cs="方正仿宋_GBK"/>
          <w:color w:val="auto"/>
          <w:sz w:val="32"/>
          <w:szCs w:val="32"/>
          <w:lang w:eastAsia="zh-CN"/>
        </w:rPr>
        <w:t>、</w:t>
      </w:r>
      <w:r>
        <w:rPr>
          <w:rFonts w:hint="eastAsia" w:ascii="方正仿宋_GBK" w:hAnsi="方正仿宋_GBK" w:eastAsia="方正仿宋_GBK" w:cs="方正仿宋_GBK"/>
          <w:color w:val="auto"/>
          <w:sz w:val="32"/>
          <w:szCs w:val="32"/>
        </w:rPr>
        <w:t>维护</w:t>
      </w:r>
      <w:r>
        <w:rPr>
          <w:rFonts w:hint="eastAsia" w:ascii="方正仿宋_GBK" w:hAnsi="方正仿宋_GBK" w:eastAsia="方正仿宋_GBK" w:cs="方正仿宋_GBK"/>
          <w:color w:val="auto"/>
          <w:sz w:val="32"/>
          <w:szCs w:val="32"/>
          <w:lang w:eastAsia="zh-CN"/>
        </w:rPr>
        <w:t>国家</w:t>
      </w:r>
      <w:r>
        <w:rPr>
          <w:rFonts w:hint="eastAsia" w:ascii="方正仿宋_GBK" w:hAnsi="方正仿宋_GBK" w:eastAsia="方正仿宋_GBK" w:cs="方正仿宋_GBK"/>
          <w:color w:val="auto"/>
          <w:sz w:val="32"/>
          <w:szCs w:val="32"/>
        </w:rPr>
        <w:t>生态安全做出了积极贡献。</w:t>
      </w:r>
    </w:p>
    <w:p>
      <w:pPr>
        <w:keepNext w:val="0"/>
        <w:keepLines w:val="0"/>
        <w:pageBreakBefore w:val="0"/>
        <w:widowControl w:val="0"/>
        <w:numPr>
          <w:ilvl w:val="0"/>
          <w:numId w:val="0"/>
        </w:numPr>
        <w:kinsoku/>
        <w:wordWrap/>
        <w:overflowPunct/>
        <w:topLinePunct/>
        <w:autoSpaceDE/>
        <w:autoSpaceDN/>
        <w:bidi w:val="0"/>
        <w:adjustRightInd/>
        <w:spacing w:line="580" w:lineRule="exact"/>
        <w:ind w:firstLine="640" w:firstLineChars="200"/>
        <w:jc w:val="both"/>
        <w:textAlignment w:val="auto"/>
        <w:rPr>
          <w:rFonts w:hint="eastAsia" w:ascii="方正仿宋_GBK" w:hAnsi="方正仿宋_GBK" w:eastAsia="方正仿宋_GBK" w:cs="方正仿宋_GBK"/>
          <w:color w:val="auto"/>
          <w:spacing w:val="6"/>
          <w:sz w:val="32"/>
          <w:szCs w:val="32"/>
        </w:rPr>
      </w:pPr>
      <w:r>
        <w:rPr>
          <w:rFonts w:hint="eastAsia" w:ascii="方正仿宋_GBK" w:hAnsi="方正仿宋_GBK" w:eastAsia="方正仿宋_GBK" w:cs="方正仿宋_GBK"/>
          <w:color w:val="auto"/>
          <w:sz w:val="32"/>
          <w:szCs w:val="32"/>
          <w:lang w:val="en-US" w:eastAsia="zh-CN"/>
        </w:rPr>
        <w:t>1.</w:t>
      </w:r>
      <w:r>
        <w:rPr>
          <w:rFonts w:hint="eastAsia" w:ascii="方正仿宋_GBK" w:hAnsi="方正仿宋_GBK" w:eastAsia="方正仿宋_GBK" w:cs="方正仿宋_GBK"/>
          <w:color w:val="auto"/>
          <w:sz w:val="32"/>
          <w:szCs w:val="32"/>
        </w:rPr>
        <w:t>进一步完善制度建设</w:t>
      </w:r>
      <w:r>
        <w:rPr>
          <w:rFonts w:hint="eastAsia" w:ascii="方正仿宋_GBK" w:hAnsi="方正仿宋_GBK" w:eastAsia="方正仿宋_GBK" w:cs="方正仿宋_GBK"/>
          <w:color w:val="auto"/>
          <w:sz w:val="32"/>
          <w:szCs w:val="32"/>
          <w:lang w:eastAsia="zh-CN"/>
        </w:rPr>
        <w:t>。</w:t>
      </w:r>
      <w:r>
        <w:rPr>
          <w:rFonts w:hint="eastAsia" w:ascii="方正仿宋_GBK" w:hAnsi="方正仿宋_GBK" w:eastAsia="方正仿宋_GBK" w:cs="方正仿宋_GBK"/>
          <w:color w:val="auto"/>
          <w:sz w:val="32"/>
          <w:szCs w:val="32"/>
        </w:rPr>
        <w:t>2016年12月12日，国务院办公厅</w:t>
      </w:r>
      <w:r>
        <w:rPr>
          <w:rFonts w:hint="eastAsia" w:ascii="方正仿宋_GBK" w:hAnsi="方正仿宋_GBK" w:eastAsia="方正仿宋_GBK" w:cs="方正仿宋_GBK"/>
          <w:color w:val="auto"/>
          <w:sz w:val="32"/>
          <w:szCs w:val="32"/>
          <w:lang w:eastAsia="zh-CN"/>
        </w:rPr>
        <w:t>印发</w:t>
      </w:r>
      <w:r>
        <w:rPr>
          <w:rFonts w:hint="eastAsia" w:ascii="方正仿宋_GBK" w:hAnsi="方正仿宋_GBK" w:eastAsia="方正仿宋_GBK" w:cs="方正仿宋_GBK"/>
          <w:color w:val="auto"/>
          <w:sz w:val="32"/>
          <w:szCs w:val="32"/>
        </w:rPr>
        <w:t>《湿地保护修复制度方案》</w:t>
      </w:r>
      <w:r>
        <w:rPr>
          <w:rFonts w:hint="eastAsia" w:ascii="方正仿宋_GBK" w:hAnsi="方正仿宋_GBK" w:eastAsia="方正仿宋_GBK" w:cs="方正仿宋_GBK"/>
          <w:color w:val="auto"/>
          <w:sz w:val="32"/>
          <w:szCs w:val="32"/>
          <w:lang w:eastAsia="zh-CN"/>
        </w:rPr>
        <w:t>（国办发〔</w:t>
      </w:r>
      <w:r>
        <w:rPr>
          <w:rFonts w:hint="eastAsia" w:ascii="方正仿宋_GBK" w:hAnsi="方正仿宋_GBK" w:eastAsia="方正仿宋_GBK" w:cs="方正仿宋_GBK"/>
          <w:color w:val="auto"/>
          <w:sz w:val="32"/>
          <w:szCs w:val="32"/>
          <w:lang w:val="en-US" w:eastAsia="zh-CN"/>
        </w:rPr>
        <w:t>2016</w:t>
      </w:r>
      <w:r>
        <w:rPr>
          <w:rFonts w:hint="eastAsia" w:ascii="方正仿宋_GBK" w:hAnsi="方正仿宋_GBK" w:eastAsia="方正仿宋_GBK" w:cs="方正仿宋_GBK"/>
          <w:color w:val="auto"/>
          <w:sz w:val="32"/>
          <w:szCs w:val="32"/>
          <w:lang w:eastAsia="zh-CN"/>
        </w:rPr>
        <w:t>〕</w:t>
      </w:r>
      <w:r>
        <w:rPr>
          <w:rFonts w:hint="eastAsia" w:ascii="方正仿宋_GBK" w:hAnsi="方正仿宋_GBK" w:eastAsia="方正仿宋_GBK" w:cs="方正仿宋_GBK"/>
          <w:color w:val="auto"/>
          <w:sz w:val="32"/>
          <w:szCs w:val="32"/>
          <w:lang w:val="en-US" w:eastAsia="zh-CN"/>
        </w:rPr>
        <w:t>89号</w:t>
      </w:r>
      <w:r>
        <w:rPr>
          <w:rFonts w:hint="eastAsia" w:ascii="方正仿宋_GBK" w:hAnsi="方正仿宋_GBK" w:eastAsia="方正仿宋_GBK" w:cs="方正仿宋_GBK"/>
          <w:color w:val="auto"/>
          <w:sz w:val="32"/>
          <w:szCs w:val="32"/>
          <w:lang w:eastAsia="zh-CN"/>
        </w:rPr>
        <w:t>）</w:t>
      </w:r>
      <w:r>
        <w:rPr>
          <w:rFonts w:hint="eastAsia" w:ascii="方正仿宋_GBK" w:hAnsi="方正仿宋_GBK" w:eastAsia="方正仿宋_GBK" w:cs="方正仿宋_GBK"/>
          <w:color w:val="auto"/>
          <w:sz w:val="32"/>
          <w:szCs w:val="32"/>
        </w:rPr>
        <w:t>，指出湿地保护是生态文明建设的重要内容，明确</w:t>
      </w:r>
      <w:r>
        <w:rPr>
          <w:rFonts w:hint="eastAsia" w:ascii="方正仿宋_GBK" w:hAnsi="方正仿宋_GBK" w:eastAsia="方正仿宋_GBK" w:cs="方正仿宋_GBK"/>
          <w:color w:val="auto"/>
          <w:sz w:val="32"/>
          <w:szCs w:val="32"/>
          <w:lang w:eastAsia="zh-CN"/>
        </w:rPr>
        <w:t>了</w:t>
      </w:r>
      <w:r>
        <w:rPr>
          <w:rFonts w:hint="eastAsia" w:ascii="方正仿宋_GBK" w:hAnsi="方正仿宋_GBK" w:eastAsia="方正仿宋_GBK" w:cs="方正仿宋_GBK"/>
          <w:color w:val="auto"/>
          <w:sz w:val="32"/>
          <w:szCs w:val="32"/>
        </w:rPr>
        <w:t>实行湿地面积总量管控、湿地分级管理等湿地保护修复措施。2017年</w:t>
      </w:r>
      <w:r>
        <w:rPr>
          <w:rFonts w:hint="eastAsia" w:ascii="方正仿宋_GBK" w:hAnsi="方正仿宋_GBK" w:eastAsia="方正仿宋_GBK" w:cs="方正仿宋_GBK"/>
          <w:color w:val="auto"/>
          <w:sz w:val="32"/>
          <w:szCs w:val="32"/>
          <w:lang w:eastAsia="zh-CN"/>
        </w:rPr>
        <w:t>，</w:t>
      </w:r>
      <w:r>
        <w:rPr>
          <w:rFonts w:hint="eastAsia" w:ascii="方正仿宋_GBK" w:hAnsi="方正仿宋_GBK" w:eastAsia="方正仿宋_GBK" w:cs="方正仿宋_GBK"/>
          <w:color w:val="auto"/>
          <w:sz w:val="32"/>
          <w:szCs w:val="32"/>
        </w:rPr>
        <w:t>自治区</w:t>
      </w:r>
      <w:r>
        <w:rPr>
          <w:rFonts w:hint="eastAsia" w:ascii="方正仿宋_GBK" w:hAnsi="方正仿宋_GBK" w:eastAsia="方正仿宋_GBK" w:cs="方正仿宋_GBK"/>
          <w:color w:val="auto"/>
          <w:sz w:val="32"/>
          <w:szCs w:val="32"/>
          <w:lang w:eastAsia="zh-CN"/>
        </w:rPr>
        <w:t>人民</w:t>
      </w:r>
      <w:r>
        <w:rPr>
          <w:rFonts w:hint="eastAsia" w:ascii="方正仿宋_GBK" w:hAnsi="方正仿宋_GBK" w:eastAsia="方正仿宋_GBK" w:cs="方正仿宋_GBK"/>
          <w:color w:val="auto"/>
          <w:sz w:val="32"/>
          <w:szCs w:val="32"/>
        </w:rPr>
        <w:t>政府办公厅印发《内蒙古自治区湿地保护修复制度实施方案》</w:t>
      </w:r>
      <w:r>
        <w:rPr>
          <w:rFonts w:hint="eastAsia" w:ascii="方正仿宋_GBK" w:hAnsi="方正仿宋_GBK" w:eastAsia="方正仿宋_GBK" w:cs="方正仿宋_GBK"/>
          <w:color w:val="auto"/>
          <w:sz w:val="32"/>
          <w:szCs w:val="32"/>
          <w:lang w:eastAsia="zh-CN"/>
        </w:rPr>
        <w:t>（</w:t>
      </w:r>
      <w:r>
        <w:rPr>
          <w:rFonts w:hint="eastAsia" w:ascii="方正仿宋_GBK" w:hAnsi="方正仿宋_GBK" w:eastAsia="方正仿宋_GBK" w:cs="方正仿宋_GBK"/>
          <w:i w:val="0"/>
          <w:iCs w:val="0"/>
          <w:caps w:val="0"/>
          <w:color w:val="000000"/>
          <w:spacing w:val="0"/>
          <w:kern w:val="0"/>
          <w:sz w:val="32"/>
          <w:szCs w:val="32"/>
          <w:shd w:val="clear" w:color="auto" w:fill="FFFFFF"/>
          <w:lang w:val="en-US" w:eastAsia="zh-CN" w:bidi="ar"/>
        </w:rPr>
        <w:t>内政办发〔2017〕143号）</w:t>
      </w:r>
      <w:r>
        <w:rPr>
          <w:rFonts w:hint="eastAsia" w:ascii="方正仿宋_GBK" w:hAnsi="方正仿宋_GBK" w:eastAsia="方正仿宋_GBK" w:cs="方正仿宋_GBK"/>
          <w:color w:val="auto"/>
          <w:sz w:val="32"/>
          <w:szCs w:val="32"/>
        </w:rPr>
        <w:t>，明确了湿地分级管理体系、湿地保护目标责任制、健全湿地用途监管机制、建立退化湿地修复制度、健全湿地监测评价体系、完善湿地保护修复保障机制等</w:t>
      </w:r>
      <w:r>
        <w:rPr>
          <w:rFonts w:hint="eastAsia" w:ascii="方正仿宋_GBK" w:hAnsi="方正仿宋_GBK" w:eastAsia="方正仿宋_GBK" w:cs="方正仿宋_GBK"/>
          <w:color w:val="auto"/>
          <w:sz w:val="32"/>
          <w:szCs w:val="32"/>
          <w:lang w:val="en-US" w:eastAsia="zh-CN"/>
        </w:rPr>
        <w:t>6</w:t>
      </w:r>
      <w:r>
        <w:rPr>
          <w:rFonts w:hint="eastAsia" w:ascii="方正仿宋_GBK" w:hAnsi="方正仿宋_GBK" w:eastAsia="方正仿宋_GBK" w:cs="方正仿宋_GBK"/>
          <w:color w:val="auto"/>
          <w:sz w:val="32"/>
          <w:szCs w:val="32"/>
        </w:rPr>
        <w:t>项重点工作，</w:t>
      </w:r>
      <w:r>
        <w:rPr>
          <w:rFonts w:hint="eastAsia" w:ascii="方正仿宋_GBK" w:hAnsi="方正仿宋_GBK" w:eastAsia="方正仿宋_GBK" w:cs="方正仿宋_GBK"/>
          <w:color w:val="auto"/>
          <w:sz w:val="32"/>
          <w:szCs w:val="32"/>
          <w:lang w:eastAsia="zh-CN"/>
        </w:rPr>
        <w:t>对</w:t>
      </w:r>
      <w:r>
        <w:rPr>
          <w:rFonts w:hint="eastAsia" w:ascii="方正仿宋_GBK" w:hAnsi="方正仿宋_GBK" w:eastAsia="方正仿宋_GBK" w:cs="方正仿宋_GBK"/>
          <w:color w:val="auto"/>
          <w:sz w:val="32"/>
          <w:szCs w:val="32"/>
        </w:rPr>
        <w:t>加强自治区湿地生态保护修复工作的系统性、整体性和协同性提</w:t>
      </w:r>
      <w:r>
        <w:rPr>
          <w:rFonts w:hint="eastAsia" w:ascii="方正仿宋_GBK" w:hAnsi="方正仿宋_GBK" w:eastAsia="方正仿宋_GBK" w:cs="方正仿宋_GBK"/>
          <w:color w:val="auto"/>
          <w:sz w:val="32"/>
          <w:szCs w:val="32"/>
          <w:lang w:eastAsia="zh-CN"/>
        </w:rPr>
        <w:t>出具体要求</w:t>
      </w:r>
      <w:r>
        <w:rPr>
          <w:rFonts w:hint="eastAsia" w:ascii="方正仿宋_GBK" w:hAnsi="方正仿宋_GBK" w:eastAsia="方正仿宋_GBK" w:cs="方正仿宋_GBK"/>
          <w:color w:val="auto"/>
          <w:sz w:val="32"/>
          <w:szCs w:val="32"/>
        </w:rPr>
        <w:t>。针对湿地保护面临的突出问题，自治区人大</w:t>
      </w:r>
      <w:r>
        <w:rPr>
          <w:rFonts w:hint="eastAsia" w:ascii="方正仿宋_GBK" w:hAnsi="方正仿宋_GBK" w:eastAsia="方正仿宋_GBK" w:cs="方正仿宋_GBK"/>
          <w:color w:val="auto"/>
          <w:sz w:val="32"/>
          <w:szCs w:val="32"/>
          <w:lang w:eastAsia="zh-CN"/>
        </w:rPr>
        <w:t>常委会于</w:t>
      </w:r>
      <w:r>
        <w:rPr>
          <w:rFonts w:hint="eastAsia" w:ascii="方正仿宋_GBK" w:hAnsi="方正仿宋_GBK" w:eastAsia="方正仿宋_GBK" w:cs="方正仿宋_GBK"/>
          <w:color w:val="auto"/>
          <w:sz w:val="32"/>
          <w:szCs w:val="32"/>
        </w:rPr>
        <w:t>2018年修订了</w:t>
      </w:r>
      <w:r>
        <w:rPr>
          <w:rFonts w:hint="eastAsia" w:ascii="方正仿宋_GBK" w:hAnsi="方正仿宋_GBK" w:eastAsia="方正仿宋_GBK" w:cs="方正仿宋_GBK"/>
          <w:color w:val="auto"/>
          <w:spacing w:val="6"/>
          <w:sz w:val="32"/>
          <w:szCs w:val="32"/>
        </w:rPr>
        <w:t>《内蒙古自治区湿地保护条例》，为切实加强湿地保护提供</w:t>
      </w:r>
      <w:r>
        <w:rPr>
          <w:rFonts w:hint="eastAsia" w:ascii="方正仿宋_GBK" w:hAnsi="方正仿宋_GBK" w:eastAsia="方正仿宋_GBK" w:cs="方正仿宋_GBK"/>
          <w:color w:val="auto"/>
          <w:spacing w:val="6"/>
          <w:sz w:val="32"/>
          <w:szCs w:val="32"/>
          <w:lang w:eastAsia="zh-CN"/>
        </w:rPr>
        <w:t>法治保障</w:t>
      </w:r>
      <w:r>
        <w:rPr>
          <w:rFonts w:hint="eastAsia" w:ascii="方正仿宋_GBK" w:hAnsi="方正仿宋_GBK" w:eastAsia="方正仿宋_GBK" w:cs="方正仿宋_GBK"/>
          <w:color w:val="auto"/>
          <w:spacing w:val="6"/>
          <w:sz w:val="32"/>
          <w:szCs w:val="32"/>
        </w:rPr>
        <w:t>。着眼规范湿地名录管理工作，自治区</w:t>
      </w:r>
      <w:r>
        <w:rPr>
          <w:rFonts w:hint="eastAsia" w:ascii="方正仿宋_GBK" w:hAnsi="方正仿宋_GBK" w:eastAsia="方正仿宋_GBK" w:cs="方正仿宋_GBK"/>
          <w:color w:val="auto"/>
          <w:spacing w:val="6"/>
          <w:sz w:val="32"/>
          <w:szCs w:val="32"/>
          <w:lang w:eastAsia="zh-CN"/>
        </w:rPr>
        <w:t>人民</w:t>
      </w:r>
      <w:r>
        <w:rPr>
          <w:rFonts w:hint="eastAsia" w:ascii="方正仿宋_GBK" w:hAnsi="方正仿宋_GBK" w:eastAsia="方正仿宋_GBK" w:cs="方正仿宋_GBK"/>
          <w:color w:val="auto"/>
          <w:spacing w:val="6"/>
          <w:sz w:val="32"/>
          <w:szCs w:val="32"/>
        </w:rPr>
        <w:t>政府</w:t>
      </w:r>
      <w:r>
        <w:rPr>
          <w:rFonts w:hint="eastAsia" w:ascii="方正仿宋_GBK" w:hAnsi="方正仿宋_GBK" w:eastAsia="方正仿宋_GBK" w:cs="方正仿宋_GBK"/>
          <w:color w:val="auto"/>
          <w:spacing w:val="6"/>
          <w:sz w:val="32"/>
          <w:szCs w:val="32"/>
          <w:lang w:eastAsia="zh-CN"/>
        </w:rPr>
        <w:t>于</w:t>
      </w:r>
      <w:r>
        <w:rPr>
          <w:rFonts w:hint="eastAsia" w:ascii="方正仿宋_GBK" w:hAnsi="方正仿宋_GBK" w:eastAsia="方正仿宋_GBK" w:cs="方正仿宋_GBK"/>
          <w:color w:val="auto"/>
          <w:spacing w:val="6"/>
          <w:sz w:val="32"/>
          <w:szCs w:val="32"/>
        </w:rPr>
        <w:t>2018年出台了《内蒙古自治区湿地名录管理办法》</w:t>
      </w:r>
      <w:r>
        <w:rPr>
          <w:rFonts w:hint="eastAsia" w:ascii="方正仿宋_GBK" w:hAnsi="方正仿宋_GBK" w:eastAsia="方正仿宋_GBK" w:cs="方正仿宋_GBK"/>
          <w:color w:val="auto"/>
          <w:spacing w:val="6"/>
          <w:sz w:val="32"/>
          <w:szCs w:val="32"/>
          <w:lang w:eastAsia="zh-CN"/>
        </w:rPr>
        <w:t>（</w:t>
      </w:r>
      <w:r>
        <w:rPr>
          <w:rFonts w:hint="eastAsia" w:ascii="方正仿宋_GBK" w:hAnsi="方正仿宋_GBK" w:eastAsia="方正仿宋_GBK" w:cs="方正仿宋_GBK"/>
          <w:i w:val="0"/>
          <w:iCs w:val="0"/>
          <w:caps w:val="0"/>
          <w:color w:val="000000"/>
          <w:spacing w:val="6"/>
          <w:kern w:val="0"/>
          <w:sz w:val="32"/>
          <w:szCs w:val="32"/>
          <w:shd w:val="clear" w:color="auto" w:fill="FFFFFF"/>
          <w:lang w:val="en-US" w:eastAsia="zh-CN" w:bidi="ar"/>
        </w:rPr>
        <w:t>内政办发〔2018〕85号）</w:t>
      </w:r>
      <w:r>
        <w:rPr>
          <w:rFonts w:hint="eastAsia" w:ascii="方正仿宋_GBK" w:hAnsi="方正仿宋_GBK" w:eastAsia="方正仿宋_GBK" w:cs="方正仿宋_GBK"/>
          <w:color w:val="auto"/>
          <w:spacing w:val="6"/>
          <w:sz w:val="32"/>
          <w:szCs w:val="32"/>
        </w:rPr>
        <w:t>。经自治区</w:t>
      </w:r>
      <w:r>
        <w:rPr>
          <w:rFonts w:hint="eastAsia" w:ascii="方正仿宋_GBK" w:hAnsi="方正仿宋_GBK" w:eastAsia="方正仿宋_GBK" w:cs="方正仿宋_GBK"/>
          <w:color w:val="auto"/>
          <w:spacing w:val="6"/>
          <w:sz w:val="32"/>
          <w:szCs w:val="32"/>
          <w:lang w:eastAsia="zh-CN"/>
        </w:rPr>
        <w:t>人民</w:t>
      </w:r>
      <w:r>
        <w:rPr>
          <w:rFonts w:hint="eastAsia" w:ascii="方正仿宋_GBK" w:hAnsi="方正仿宋_GBK" w:eastAsia="方正仿宋_GBK" w:cs="方正仿宋_GBK"/>
          <w:color w:val="auto"/>
          <w:spacing w:val="6"/>
          <w:sz w:val="32"/>
          <w:szCs w:val="32"/>
        </w:rPr>
        <w:t>政府同意，自治区林草局</w:t>
      </w:r>
      <w:r>
        <w:rPr>
          <w:rFonts w:hint="eastAsia" w:ascii="方正仿宋_GBK" w:hAnsi="方正仿宋_GBK" w:eastAsia="方正仿宋_GBK" w:cs="方正仿宋_GBK"/>
          <w:color w:val="auto"/>
          <w:spacing w:val="6"/>
          <w:sz w:val="32"/>
          <w:szCs w:val="32"/>
          <w:lang w:eastAsia="zh-CN"/>
        </w:rPr>
        <w:t>于</w:t>
      </w:r>
      <w:r>
        <w:rPr>
          <w:rFonts w:hint="eastAsia" w:ascii="方正仿宋_GBK" w:hAnsi="方正仿宋_GBK" w:eastAsia="方正仿宋_GBK" w:cs="方正仿宋_GBK"/>
          <w:color w:val="auto"/>
          <w:spacing w:val="6"/>
          <w:sz w:val="32"/>
          <w:szCs w:val="32"/>
        </w:rPr>
        <w:t>2019年印发《内蒙古自治区湿地公园管理办法》</w:t>
      </w:r>
      <w:r>
        <w:rPr>
          <w:rFonts w:hint="eastAsia" w:ascii="方正仿宋_GBK" w:hAnsi="方正仿宋_GBK" w:eastAsia="方正仿宋_GBK" w:cs="方正仿宋_GBK"/>
          <w:color w:val="auto"/>
          <w:spacing w:val="6"/>
          <w:sz w:val="32"/>
          <w:szCs w:val="32"/>
          <w:lang w:eastAsia="zh-CN"/>
        </w:rPr>
        <w:t>（内林办发</w:t>
      </w:r>
      <w:r>
        <w:rPr>
          <w:rFonts w:hint="eastAsia" w:ascii="方正仿宋_GBK" w:hAnsi="方正仿宋_GBK" w:eastAsia="方正仿宋_GBK" w:cs="方正仿宋_GBK"/>
          <w:i w:val="0"/>
          <w:iCs w:val="0"/>
          <w:caps w:val="0"/>
          <w:color w:val="000000"/>
          <w:spacing w:val="6"/>
          <w:kern w:val="0"/>
          <w:sz w:val="32"/>
          <w:szCs w:val="32"/>
          <w:shd w:val="clear" w:color="auto" w:fill="FFFFFF"/>
          <w:lang w:val="en-US" w:eastAsia="zh-CN" w:bidi="ar"/>
        </w:rPr>
        <w:t>〔2019〕155号</w:t>
      </w:r>
      <w:r>
        <w:rPr>
          <w:rFonts w:hint="eastAsia" w:ascii="方正仿宋_GBK" w:hAnsi="方正仿宋_GBK" w:eastAsia="方正仿宋_GBK" w:cs="方正仿宋_GBK"/>
          <w:color w:val="auto"/>
          <w:spacing w:val="6"/>
          <w:sz w:val="32"/>
          <w:szCs w:val="32"/>
          <w:lang w:eastAsia="zh-CN"/>
        </w:rPr>
        <w:t>）</w:t>
      </w:r>
      <w:r>
        <w:rPr>
          <w:rFonts w:hint="eastAsia" w:ascii="方正仿宋_GBK" w:hAnsi="方正仿宋_GBK" w:eastAsia="方正仿宋_GBK" w:cs="方正仿宋_GBK"/>
          <w:color w:val="auto"/>
          <w:spacing w:val="6"/>
          <w:sz w:val="32"/>
          <w:szCs w:val="32"/>
        </w:rPr>
        <w:t>，进一步规范了湿地公园建设和管理工作。</w:t>
      </w:r>
    </w:p>
    <w:p>
      <w:pPr>
        <w:keepNext w:val="0"/>
        <w:keepLines w:val="0"/>
        <w:pageBreakBefore w:val="0"/>
        <w:widowControl w:val="0"/>
        <w:numPr>
          <w:ilvl w:val="0"/>
          <w:numId w:val="0"/>
        </w:numPr>
        <w:tabs>
          <w:tab w:val="left" w:pos="312"/>
        </w:tabs>
        <w:kinsoku/>
        <w:wordWrap/>
        <w:overflowPunct/>
        <w:topLinePunct/>
        <w:autoSpaceDE/>
        <w:autoSpaceDN/>
        <w:bidi w:val="0"/>
        <w:adjustRightInd w:val="0"/>
        <w:spacing w:line="580" w:lineRule="exact"/>
        <w:ind w:left="0" w:leftChars="0" w:firstLine="640" w:firstLineChars="200"/>
        <w:textAlignment w:val="auto"/>
        <w:rPr>
          <w:rFonts w:hint="eastAsia" w:ascii="方正仿宋_GBK" w:hAnsi="方正仿宋_GBK" w:eastAsia="方正仿宋_GBK" w:cs="方正仿宋_GBK"/>
          <w:color w:val="auto"/>
          <w:spacing w:val="-11"/>
          <w:sz w:val="32"/>
          <w:szCs w:val="32"/>
        </w:rPr>
      </w:pPr>
      <w:r>
        <w:rPr>
          <w:rFonts w:hint="eastAsia" w:ascii="方正仿宋_GBK" w:hAnsi="方正仿宋_GBK" w:eastAsia="方正仿宋_GBK" w:cs="方正仿宋_GBK"/>
          <w:color w:val="auto"/>
          <w:sz w:val="32"/>
          <w:szCs w:val="32"/>
          <w:lang w:val="en-US" w:eastAsia="zh-CN"/>
        </w:rPr>
        <w:t>2.</w:t>
      </w:r>
      <w:r>
        <w:rPr>
          <w:rFonts w:hint="eastAsia" w:ascii="方正仿宋_GBK" w:hAnsi="方正仿宋_GBK" w:eastAsia="方正仿宋_GBK" w:cs="方正仿宋_GBK"/>
          <w:color w:val="auto"/>
          <w:spacing w:val="0"/>
          <w:sz w:val="32"/>
          <w:szCs w:val="32"/>
        </w:rPr>
        <w:t>保护修复成效显著</w:t>
      </w:r>
      <w:r>
        <w:rPr>
          <w:rFonts w:hint="eastAsia" w:ascii="方正仿宋_GBK" w:hAnsi="方正仿宋_GBK" w:eastAsia="方正仿宋_GBK" w:cs="方正仿宋_GBK"/>
          <w:color w:val="auto"/>
          <w:spacing w:val="0"/>
          <w:sz w:val="32"/>
          <w:szCs w:val="32"/>
          <w:lang w:eastAsia="zh-CN"/>
        </w:rPr>
        <w:t>。</w:t>
      </w:r>
      <w:r>
        <w:rPr>
          <w:rFonts w:hint="eastAsia" w:ascii="方正仿宋_GBK" w:hAnsi="方正仿宋_GBK" w:eastAsia="方正仿宋_GBK" w:cs="方正仿宋_GBK"/>
          <w:color w:val="auto"/>
          <w:spacing w:val="0"/>
          <w:sz w:val="32"/>
          <w:szCs w:val="32"/>
        </w:rPr>
        <w:t>近年来，自治区共实施中央财政湿地保护与恢复项目、退耕还湿项目、生态效益补偿项目和湿地保护奖励项目122个，中央财政湿地保护资金投入3.73亿元；实施国家</w:t>
      </w:r>
      <w:r>
        <w:rPr>
          <w:rFonts w:hint="eastAsia" w:ascii="方正仿宋_GBK" w:hAnsi="方正仿宋_GBK" w:eastAsia="方正仿宋_GBK" w:cs="方正仿宋_GBK"/>
          <w:color w:val="auto"/>
          <w:spacing w:val="0"/>
          <w:sz w:val="32"/>
          <w:szCs w:val="32"/>
          <w:lang w:eastAsia="zh-CN"/>
        </w:rPr>
        <w:t>发展改革</w:t>
      </w:r>
      <w:r>
        <w:rPr>
          <w:rFonts w:hint="eastAsia" w:ascii="方正仿宋_GBK" w:hAnsi="方正仿宋_GBK" w:eastAsia="方正仿宋_GBK" w:cs="方正仿宋_GBK"/>
          <w:color w:val="auto"/>
          <w:spacing w:val="0"/>
          <w:sz w:val="32"/>
          <w:szCs w:val="32"/>
        </w:rPr>
        <w:t>委湿地保护工程基建项目2个，中央预算累计总投资9380万元，地方配套资金5811万元</w:t>
      </w:r>
      <w:r>
        <w:rPr>
          <w:rFonts w:hint="eastAsia" w:ascii="方正仿宋_GBK" w:hAnsi="方正仿宋_GBK" w:eastAsia="方正仿宋_GBK" w:cs="方正仿宋_GBK"/>
          <w:color w:val="auto"/>
          <w:spacing w:val="0"/>
          <w:sz w:val="32"/>
          <w:szCs w:val="32"/>
          <w:lang w:eastAsia="zh-CN"/>
        </w:rPr>
        <w:t>，</w:t>
      </w:r>
      <w:r>
        <w:rPr>
          <w:rFonts w:hint="eastAsia" w:ascii="方正仿宋_GBK" w:hAnsi="方正仿宋_GBK" w:eastAsia="方正仿宋_GBK" w:cs="方正仿宋_GBK"/>
          <w:color w:val="auto"/>
          <w:spacing w:val="0"/>
          <w:sz w:val="32"/>
          <w:szCs w:val="32"/>
        </w:rPr>
        <w:t>其中，“一湖两海”湿地保护投入资金10647万元。通过项目的实施，自治区湿地生态状况得到有效改善，新增湿地9285公顷，湿地退化趋势整体得到</w:t>
      </w:r>
      <w:r>
        <w:rPr>
          <w:rFonts w:hint="eastAsia" w:ascii="方正仿宋_GBK" w:hAnsi="方正仿宋_GBK" w:eastAsia="方正仿宋_GBK" w:cs="方正仿宋_GBK"/>
          <w:color w:val="auto"/>
          <w:spacing w:val="0"/>
          <w:sz w:val="32"/>
          <w:szCs w:val="32"/>
          <w:lang w:eastAsia="zh-CN"/>
        </w:rPr>
        <w:t>有效</w:t>
      </w:r>
      <w:r>
        <w:rPr>
          <w:rFonts w:hint="eastAsia" w:ascii="方正仿宋_GBK" w:hAnsi="方正仿宋_GBK" w:eastAsia="方正仿宋_GBK" w:cs="方正仿宋_GBK"/>
          <w:color w:val="auto"/>
          <w:spacing w:val="0"/>
          <w:sz w:val="32"/>
          <w:szCs w:val="32"/>
        </w:rPr>
        <w:t>遏制。</w:t>
      </w:r>
    </w:p>
    <w:p>
      <w:pPr>
        <w:keepNext w:val="0"/>
        <w:keepLines w:val="0"/>
        <w:pageBreakBefore w:val="0"/>
        <w:widowControl w:val="0"/>
        <w:numPr>
          <w:ilvl w:val="0"/>
          <w:numId w:val="0"/>
        </w:numPr>
        <w:kinsoku/>
        <w:wordWrap/>
        <w:overflowPunct/>
        <w:topLinePunct/>
        <w:autoSpaceDE/>
        <w:autoSpaceDN/>
        <w:bidi w:val="0"/>
        <w:adjustRightInd w:val="0"/>
        <w:spacing w:line="580" w:lineRule="exact"/>
        <w:ind w:firstLine="640" w:firstLineChars="200"/>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color w:val="auto"/>
          <w:sz w:val="32"/>
          <w:szCs w:val="32"/>
          <w:lang w:val="en-US" w:eastAsia="zh-CN"/>
        </w:rPr>
        <w:t>3.</w:t>
      </w:r>
      <w:r>
        <w:rPr>
          <w:rFonts w:hint="eastAsia" w:ascii="方正仿宋_GBK" w:hAnsi="方正仿宋_GBK" w:eastAsia="方正仿宋_GBK" w:cs="方正仿宋_GBK"/>
          <w:color w:val="auto"/>
          <w:sz w:val="32"/>
          <w:szCs w:val="32"/>
        </w:rPr>
        <w:t>监管力度不断加大</w:t>
      </w:r>
      <w:bookmarkStart w:id="19" w:name="_Toc149727780"/>
      <w:r>
        <w:rPr>
          <w:rFonts w:hint="eastAsia" w:ascii="方正仿宋_GBK" w:hAnsi="方正仿宋_GBK" w:eastAsia="方正仿宋_GBK" w:cs="方正仿宋_GBK"/>
          <w:color w:val="auto"/>
          <w:sz w:val="32"/>
          <w:szCs w:val="32"/>
          <w:lang w:eastAsia="zh-CN"/>
        </w:rPr>
        <w:t>。</w:t>
      </w:r>
      <w:r>
        <w:rPr>
          <w:rFonts w:hint="eastAsia" w:ascii="方正仿宋_GBK" w:hAnsi="方正仿宋_GBK" w:eastAsia="方正仿宋_GBK" w:cs="方正仿宋_GBK"/>
          <w:color w:val="auto"/>
          <w:sz w:val="32"/>
          <w:szCs w:val="32"/>
        </w:rPr>
        <w:t>落实湿地保护目标责任制，将湿地面积、湿地生态状况等保护成效指标纳入盟市、旗县（市、区）生态文明建设目标评价考核体系，建立健全奖励机制和终身追责机制，</w:t>
      </w:r>
      <w:r>
        <w:rPr>
          <w:rFonts w:hint="eastAsia" w:ascii="方正仿宋_GBK" w:hAnsi="方正仿宋_GBK" w:eastAsia="方正仿宋_GBK" w:cs="方正仿宋_GBK"/>
          <w:color w:val="auto"/>
          <w:sz w:val="32"/>
          <w:szCs w:val="32"/>
          <w:lang w:eastAsia="zh-CN"/>
        </w:rPr>
        <w:t>旗县级以上</w:t>
      </w:r>
      <w:r>
        <w:rPr>
          <w:rFonts w:hint="eastAsia" w:ascii="方正仿宋_GBK" w:hAnsi="方正仿宋_GBK" w:eastAsia="方正仿宋_GBK" w:cs="方正仿宋_GBK"/>
          <w:color w:val="auto"/>
          <w:sz w:val="32"/>
          <w:szCs w:val="32"/>
        </w:rPr>
        <w:t>人民政府对本行政区域内湿地保护负总责。健全湿地用途监管机制，严格湿地用途管控</w:t>
      </w:r>
      <w:r>
        <w:rPr>
          <w:rFonts w:hint="eastAsia" w:ascii="方正仿宋_GBK" w:hAnsi="方正仿宋_GBK" w:eastAsia="方正仿宋_GBK" w:cs="方正仿宋_GBK"/>
          <w:color w:val="auto"/>
          <w:sz w:val="32"/>
          <w:szCs w:val="32"/>
          <w:lang w:eastAsia="zh-CN"/>
        </w:rPr>
        <w:t>，</w:t>
      </w:r>
      <w:r>
        <w:rPr>
          <w:rFonts w:hint="eastAsia" w:ascii="方正仿宋_GBK" w:hAnsi="方正仿宋_GBK" w:eastAsia="方正仿宋_GBK" w:cs="方正仿宋_GBK"/>
          <w:color w:val="auto"/>
          <w:sz w:val="32"/>
          <w:szCs w:val="32"/>
        </w:rPr>
        <w:t>规范湿地用途管理</w:t>
      </w:r>
      <w:r>
        <w:rPr>
          <w:rFonts w:hint="eastAsia" w:ascii="方正仿宋_GBK" w:hAnsi="方正仿宋_GBK" w:eastAsia="方正仿宋_GBK" w:cs="方正仿宋_GBK"/>
          <w:color w:val="auto"/>
          <w:sz w:val="32"/>
          <w:szCs w:val="32"/>
          <w:lang w:eastAsia="zh-CN"/>
        </w:rPr>
        <w:t>，</w:t>
      </w:r>
      <w:r>
        <w:rPr>
          <w:rFonts w:hint="eastAsia" w:ascii="方正仿宋_GBK" w:hAnsi="方正仿宋_GBK" w:eastAsia="方正仿宋_GBK" w:cs="方正仿宋_GBK"/>
          <w:color w:val="auto"/>
          <w:sz w:val="32"/>
          <w:szCs w:val="32"/>
        </w:rPr>
        <w:t>实行湿地生态影响评价制度，加大湿地变化图斑核实，对湿地破坏严重的地区或有关部门进行约谈。</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 xml:space="preserve">第三节 </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内蒙古自治区湿地保护挑战与机遇</w:t>
      </w:r>
      <w:bookmarkEnd w:id="19"/>
    </w:p>
    <w:p>
      <w:pPr>
        <w:pStyle w:val="24"/>
        <w:keepNext w:val="0"/>
        <w:keepLines w:val="0"/>
        <w:pageBreakBefore w:val="0"/>
        <w:widowControl w:val="0"/>
        <w:kinsoku/>
        <w:wordWrap/>
        <w:overflowPunct/>
        <w:topLinePunct/>
        <w:autoSpaceDE/>
        <w:autoSpaceDN/>
        <w:bidi w:val="0"/>
        <w:adjustRightInd/>
        <w:spacing w:line="580" w:lineRule="exact"/>
        <w:ind w:firstLine="678"/>
        <w:textAlignment w:val="auto"/>
        <w:rPr>
          <w:rFonts w:hint="eastAsia" w:ascii="方正仿宋_GBK" w:hAnsi="方正仿宋_GBK" w:eastAsia="方正仿宋_GBK" w:cs="方正仿宋_GBK"/>
          <w:b w:val="0"/>
          <w:bCs w:val="0"/>
          <w:color w:val="auto"/>
          <w:sz w:val="32"/>
          <w:szCs w:val="32"/>
          <w:lang w:val="en-US" w:eastAsia="zh-CN"/>
        </w:rPr>
      </w:pPr>
      <w:r>
        <w:rPr>
          <w:rFonts w:hint="eastAsia" w:ascii="方正仿宋_GBK" w:hAnsi="方正仿宋_GBK" w:eastAsia="方正仿宋_GBK" w:cs="方正仿宋_GBK"/>
          <w:b w:val="0"/>
          <w:bCs w:val="0"/>
          <w:color w:val="auto"/>
          <w:sz w:val="32"/>
          <w:szCs w:val="32"/>
          <w:lang w:val="en-US" w:eastAsia="zh-CN"/>
        </w:rPr>
        <w:t>1.</w:t>
      </w:r>
      <w:r>
        <w:rPr>
          <w:rFonts w:hint="eastAsia" w:ascii="方正仿宋_GBK" w:hAnsi="方正仿宋_GBK" w:eastAsia="方正仿宋_GBK" w:cs="方正仿宋_GBK"/>
          <w:b w:val="0"/>
          <w:bCs w:val="0"/>
          <w:color w:val="auto"/>
          <w:sz w:val="32"/>
          <w:szCs w:val="32"/>
        </w:rPr>
        <w:t>面临的挑战和问题</w:t>
      </w:r>
      <w:r>
        <w:rPr>
          <w:rFonts w:hint="eastAsia" w:ascii="方正仿宋_GBK" w:hAnsi="方正仿宋_GBK" w:eastAsia="方正仿宋_GBK" w:cs="方正仿宋_GBK"/>
          <w:b w:val="0"/>
          <w:bCs w:val="0"/>
          <w:color w:val="auto"/>
          <w:sz w:val="32"/>
          <w:szCs w:val="32"/>
          <w:lang w:val="en-US" w:eastAsia="zh-CN"/>
        </w:rPr>
        <w:t>。</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湿地破碎化仍然存在，局部湿地生态功能下降。由于基建占用、农业开发和不合理水资源利用等原因，湖泊湿地、河流湿地等天然湿地水面面积逐渐</w:t>
      </w:r>
      <w:r>
        <w:rPr>
          <w:rFonts w:hint="eastAsia" w:ascii="方正仿宋_GBK" w:hAnsi="方正仿宋_GBK" w:eastAsia="方正仿宋_GBK" w:cs="方正仿宋_GBK"/>
          <w:b w:val="0"/>
          <w:bCs w:val="0"/>
          <w:color w:val="auto"/>
          <w:sz w:val="32"/>
          <w:szCs w:val="32"/>
          <w:lang w:eastAsia="zh-CN"/>
        </w:rPr>
        <w:t>缩减</w:t>
      </w:r>
      <w:r>
        <w:rPr>
          <w:rFonts w:hint="eastAsia" w:ascii="方正仿宋_GBK" w:hAnsi="方正仿宋_GBK" w:eastAsia="方正仿宋_GBK" w:cs="方正仿宋_GBK"/>
          <w:b w:val="0"/>
          <w:bCs w:val="0"/>
          <w:color w:val="auto"/>
          <w:sz w:val="32"/>
          <w:szCs w:val="32"/>
        </w:rPr>
        <w:t>，湿地景观呈破碎化状态，较多湿地变成“孤岛”，局部区域湿地生态功能有所下降。湿地生态系统局部退化趋势尚未得到</w:t>
      </w:r>
      <w:r>
        <w:rPr>
          <w:rFonts w:hint="eastAsia" w:ascii="方正仿宋_GBK" w:hAnsi="方正仿宋_GBK" w:eastAsia="方正仿宋_GBK" w:cs="方正仿宋_GBK"/>
          <w:b w:val="0"/>
          <w:bCs w:val="0"/>
          <w:color w:val="auto"/>
          <w:sz w:val="32"/>
          <w:szCs w:val="32"/>
          <w:lang w:eastAsia="zh-CN"/>
        </w:rPr>
        <w:t>根本</w:t>
      </w:r>
      <w:r>
        <w:rPr>
          <w:rFonts w:hint="eastAsia" w:ascii="方正仿宋_GBK" w:hAnsi="方正仿宋_GBK" w:eastAsia="方正仿宋_GBK" w:cs="方正仿宋_GBK"/>
          <w:b w:val="0"/>
          <w:bCs w:val="0"/>
          <w:color w:val="auto"/>
          <w:sz w:val="32"/>
          <w:szCs w:val="32"/>
        </w:rPr>
        <w:t>遏制，不能充分发挥生态服务功能，部分区域</w:t>
      </w:r>
      <w:r>
        <w:rPr>
          <w:rFonts w:hint="eastAsia" w:ascii="方正仿宋_GBK" w:hAnsi="方正仿宋_GBK" w:eastAsia="方正仿宋_GBK" w:cs="方正仿宋_GBK"/>
          <w:b w:val="0"/>
          <w:bCs w:val="0"/>
          <w:color w:val="auto"/>
          <w:sz w:val="32"/>
          <w:szCs w:val="32"/>
          <w:lang w:eastAsia="zh-CN"/>
        </w:rPr>
        <w:t>由于</w:t>
      </w:r>
      <w:r>
        <w:rPr>
          <w:rFonts w:hint="eastAsia" w:ascii="方正仿宋_GBK" w:hAnsi="方正仿宋_GBK" w:eastAsia="方正仿宋_GBK" w:cs="方正仿宋_GBK"/>
          <w:b w:val="0"/>
          <w:bCs w:val="0"/>
          <w:color w:val="auto"/>
          <w:sz w:val="32"/>
          <w:szCs w:val="32"/>
        </w:rPr>
        <w:t>湿地退化已经直接影响当地生态环境质量。</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湿地保护管理体系不完善。内蒙古湿地面积大，湿地保护区域与农业生产区交错</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管理难度大</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资金投入有限，湿地保护基础设施投入不足</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保护管理体系尚未健全，保护管理能力有限，存在违规占用湿地的现象。</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科研和技术支撑体系滞后，监测体系不健全。湿地保护的基础研究长期处于滞后状态，特别对湿地的结构、功能、演替规律、效益评价等方面缺乏系统、深入的研究，对湿地的开发利用缺乏评价机制。湿地评估体系尚未建立，保护成效难以评价，制约</w:t>
      </w:r>
      <w:r>
        <w:rPr>
          <w:rFonts w:hint="eastAsia" w:ascii="方正仿宋_GBK" w:hAnsi="方正仿宋_GBK" w:eastAsia="方正仿宋_GBK" w:cs="方正仿宋_GBK"/>
          <w:b w:val="0"/>
          <w:bCs w:val="0"/>
          <w:color w:val="auto"/>
          <w:sz w:val="32"/>
          <w:szCs w:val="32"/>
          <w:lang w:eastAsia="zh-CN"/>
        </w:rPr>
        <w:t>了</w:t>
      </w:r>
      <w:r>
        <w:rPr>
          <w:rFonts w:hint="eastAsia" w:ascii="方正仿宋_GBK" w:hAnsi="方正仿宋_GBK" w:eastAsia="方正仿宋_GBK" w:cs="方正仿宋_GBK"/>
          <w:b w:val="0"/>
          <w:bCs w:val="0"/>
          <w:color w:val="auto"/>
          <w:sz w:val="32"/>
          <w:szCs w:val="32"/>
          <w:u w:val="none"/>
          <w:lang w:eastAsia="zh-CN"/>
        </w:rPr>
        <w:t>地方</w:t>
      </w:r>
      <w:r>
        <w:rPr>
          <w:rFonts w:hint="eastAsia" w:ascii="方正仿宋_GBK" w:hAnsi="方正仿宋_GBK" w:eastAsia="方正仿宋_GBK" w:cs="方正仿宋_GBK"/>
          <w:b w:val="0"/>
          <w:bCs w:val="0"/>
          <w:color w:val="auto"/>
          <w:sz w:val="32"/>
          <w:szCs w:val="32"/>
        </w:rPr>
        <w:t>各级</w:t>
      </w:r>
      <w:r>
        <w:rPr>
          <w:rFonts w:hint="eastAsia" w:ascii="方正仿宋_GBK" w:hAnsi="方正仿宋_GBK" w:eastAsia="方正仿宋_GBK" w:cs="方正仿宋_GBK"/>
          <w:b w:val="0"/>
          <w:bCs w:val="0"/>
          <w:color w:val="auto"/>
          <w:sz w:val="32"/>
          <w:szCs w:val="32"/>
          <w:lang w:eastAsia="zh-CN"/>
        </w:rPr>
        <w:t>人民</w:t>
      </w:r>
      <w:r>
        <w:rPr>
          <w:rFonts w:hint="eastAsia" w:ascii="方正仿宋_GBK" w:hAnsi="方正仿宋_GBK" w:eastAsia="方正仿宋_GBK" w:cs="方正仿宋_GBK"/>
          <w:b w:val="0"/>
          <w:bCs w:val="0"/>
          <w:color w:val="auto"/>
          <w:sz w:val="32"/>
          <w:szCs w:val="32"/>
        </w:rPr>
        <w:t>政府对湿地保护和管理的积极性。湿地生态功能、湿地动植物资源数量质量等方面监测体系尚未健全，不能及时掌握相关指标动态变化，数据收集采集时效性差，无法为管理部门制定科学的管理办法提供及时可靠的基础数据，迫切需要建立湿地生态系统监测体系。</w:t>
      </w:r>
    </w:p>
    <w:p>
      <w:pPr>
        <w:pStyle w:val="24"/>
        <w:keepNext w:val="0"/>
        <w:keepLines w:val="0"/>
        <w:pageBreakBefore w:val="0"/>
        <w:widowControl w:val="0"/>
        <w:kinsoku/>
        <w:wordWrap/>
        <w:overflowPunct/>
        <w:topLinePunct/>
        <w:autoSpaceDE/>
        <w:autoSpaceDN/>
        <w:bidi w:val="0"/>
        <w:adjustRightInd/>
        <w:spacing w:line="580" w:lineRule="exact"/>
        <w:ind w:firstLine="678"/>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湿地资源调查数据亟待更新。2020年度第三次全国国土调查数据公布后</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实现了林草湿</w:t>
      </w:r>
      <w:r>
        <w:rPr>
          <w:rFonts w:hint="eastAsia" w:ascii="方正仿宋_GBK" w:hAnsi="方正仿宋_GBK" w:eastAsia="方正仿宋_GBK" w:cs="方正仿宋_GBK"/>
          <w:b w:val="0"/>
          <w:bCs w:val="0"/>
          <w:caps w:val="0"/>
          <w:smallCaps/>
          <w:color w:val="auto"/>
          <w:spacing w:val="-6"/>
          <w:sz w:val="32"/>
          <w:szCs w:val="32"/>
        </w:rPr>
        <w:t>“一张图”</w:t>
      </w:r>
      <w:r>
        <w:rPr>
          <w:rFonts w:hint="eastAsia" w:ascii="方正仿宋_GBK" w:hAnsi="方正仿宋_GBK" w:eastAsia="方正仿宋_GBK" w:cs="方正仿宋_GBK"/>
          <w:b w:val="0"/>
          <w:bCs w:val="0"/>
          <w:caps w:val="0"/>
          <w:smallCaps/>
          <w:color w:val="auto"/>
          <w:spacing w:val="-6"/>
          <w:sz w:val="32"/>
          <w:szCs w:val="32"/>
          <w:lang w:eastAsia="zh-CN"/>
        </w:rPr>
        <w:t>，但</w:t>
      </w:r>
      <w:r>
        <w:rPr>
          <w:rFonts w:hint="eastAsia" w:ascii="方正仿宋_GBK" w:hAnsi="方正仿宋_GBK" w:eastAsia="方正仿宋_GBK" w:cs="方正仿宋_GBK"/>
          <w:b w:val="0"/>
          <w:bCs w:val="0"/>
          <w:caps w:val="0"/>
          <w:smallCaps/>
          <w:color w:val="auto"/>
          <w:spacing w:val="-6"/>
          <w:sz w:val="32"/>
          <w:szCs w:val="32"/>
        </w:rPr>
        <w:t>湿地数据仅有面积、范</w:t>
      </w:r>
      <w:r>
        <w:rPr>
          <w:rFonts w:hint="eastAsia" w:ascii="方正仿宋_GBK" w:hAnsi="方正仿宋_GBK" w:eastAsia="方正仿宋_GBK" w:cs="方正仿宋_GBK"/>
          <w:b w:val="0"/>
          <w:bCs w:val="0"/>
          <w:color w:val="auto"/>
          <w:sz w:val="32"/>
          <w:szCs w:val="32"/>
        </w:rPr>
        <w:t>围和权属等因子，不能满足现阶段湿地保护与管理的需求，急需开展湿地专项调查工作，完善与更新自治区湿地数据库。</w:t>
      </w:r>
    </w:p>
    <w:p>
      <w:pPr>
        <w:pStyle w:val="24"/>
        <w:keepNext w:val="0"/>
        <w:keepLines w:val="0"/>
        <w:pageBreakBefore w:val="0"/>
        <w:widowControl w:val="0"/>
        <w:kinsoku/>
        <w:wordWrap/>
        <w:overflowPunct/>
        <w:topLinePunct/>
        <w:autoSpaceDE/>
        <w:autoSpaceDN/>
        <w:bidi w:val="0"/>
        <w:adjustRightInd/>
        <w:spacing w:line="580" w:lineRule="exact"/>
        <w:ind w:firstLine="678"/>
        <w:textAlignment w:val="auto"/>
        <w:rPr>
          <w:rFonts w:hint="eastAsia" w:ascii="方正仿宋_GBK" w:hAnsi="方正仿宋_GBK" w:eastAsia="方正仿宋_GBK" w:cs="方正仿宋_GBK"/>
          <w:b w:val="0"/>
          <w:bCs w:val="0"/>
          <w:color w:val="auto"/>
          <w:sz w:val="32"/>
          <w:szCs w:val="32"/>
          <w:lang w:eastAsia="zh-CN"/>
        </w:rPr>
      </w:pPr>
      <w:r>
        <w:rPr>
          <w:rFonts w:hint="eastAsia" w:ascii="方正仿宋_GBK" w:hAnsi="方正仿宋_GBK" w:eastAsia="方正仿宋_GBK" w:cs="方正仿宋_GBK"/>
          <w:b w:val="0"/>
          <w:bCs w:val="0"/>
          <w:color w:val="auto"/>
          <w:sz w:val="32"/>
          <w:szCs w:val="32"/>
          <w:lang w:val="en-US" w:eastAsia="zh-CN"/>
        </w:rPr>
        <w:t>2.</w:t>
      </w:r>
      <w:r>
        <w:rPr>
          <w:rFonts w:hint="eastAsia" w:ascii="方正仿宋_GBK" w:hAnsi="方正仿宋_GBK" w:eastAsia="方正仿宋_GBK" w:cs="方正仿宋_GBK"/>
          <w:b w:val="0"/>
          <w:bCs w:val="0"/>
          <w:color w:val="auto"/>
          <w:sz w:val="32"/>
          <w:szCs w:val="32"/>
        </w:rPr>
        <w:t>发展机遇</w:t>
      </w:r>
      <w:r>
        <w:rPr>
          <w:rFonts w:hint="eastAsia" w:ascii="方正仿宋_GBK" w:hAnsi="方正仿宋_GBK" w:eastAsia="方正仿宋_GBK" w:cs="方正仿宋_GBK"/>
          <w:b w:val="0"/>
          <w:bCs w:val="0"/>
          <w:color w:val="auto"/>
          <w:sz w:val="32"/>
          <w:szCs w:val="32"/>
          <w:lang w:eastAsia="zh-CN"/>
        </w:rPr>
        <w:t>。</w:t>
      </w:r>
      <w:bookmarkEnd w:id="15"/>
      <w:bookmarkEnd w:id="16"/>
      <w:bookmarkEnd w:id="17"/>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highlight w:val="none"/>
        </w:rPr>
      </w:pPr>
      <w:r>
        <w:rPr>
          <w:rFonts w:hint="eastAsia" w:ascii="方正仿宋_GBK" w:hAnsi="方正仿宋_GBK" w:eastAsia="方正仿宋_GBK" w:cs="方正仿宋_GBK"/>
          <w:b w:val="0"/>
          <w:bCs w:val="0"/>
          <w:color w:val="auto"/>
          <w:sz w:val="32"/>
          <w:szCs w:val="32"/>
        </w:rPr>
        <w:t>习近平生态文明思想为湿地保护提供了科学指引。2018年，习近平总书记对内蒙古“一湖两海”综合治理和“察汗淖尔湿地</w:t>
      </w:r>
      <w:r>
        <w:rPr>
          <w:rFonts w:hint="eastAsia" w:ascii="方正仿宋_GBK" w:hAnsi="方正仿宋_GBK" w:eastAsia="方正仿宋_GBK" w:cs="方正仿宋_GBK"/>
          <w:b w:val="0"/>
          <w:bCs w:val="0"/>
          <w:caps w:val="0"/>
          <w:smallCaps/>
          <w:color w:val="auto"/>
          <w:spacing w:val="-6"/>
          <w:sz w:val="32"/>
          <w:szCs w:val="32"/>
        </w:rPr>
        <w:t>保护与恢复”作出重要指示批示。2023年6月5日至6日</w:t>
      </w:r>
      <w:r>
        <w:rPr>
          <w:rFonts w:hint="eastAsia" w:ascii="方正仿宋_GBK" w:hAnsi="方正仿宋_GBK" w:eastAsia="方正仿宋_GBK" w:cs="方正仿宋_GBK"/>
          <w:b w:val="0"/>
          <w:bCs w:val="0"/>
          <w:caps w:val="0"/>
          <w:smallCaps/>
          <w:color w:val="auto"/>
          <w:spacing w:val="-6"/>
          <w:sz w:val="32"/>
          <w:szCs w:val="32"/>
          <w:lang w:eastAsia="zh-CN"/>
        </w:rPr>
        <w:t>，习近平</w:t>
      </w:r>
      <w:r>
        <w:rPr>
          <w:rFonts w:hint="eastAsia" w:ascii="方正仿宋_GBK" w:hAnsi="方正仿宋_GBK" w:eastAsia="方正仿宋_GBK" w:cs="方正仿宋_GBK"/>
          <w:b w:val="0"/>
          <w:bCs w:val="0"/>
          <w:color w:val="auto"/>
          <w:sz w:val="32"/>
          <w:szCs w:val="32"/>
          <w:lang w:eastAsia="zh-CN"/>
        </w:rPr>
        <w:t>总书记</w:t>
      </w:r>
      <w:r>
        <w:rPr>
          <w:rFonts w:hint="eastAsia" w:ascii="方正仿宋_GBK" w:hAnsi="方正仿宋_GBK" w:eastAsia="方正仿宋_GBK" w:cs="方正仿宋_GBK"/>
          <w:b w:val="0"/>
          <w:bCs w:val="0"/>
          <w:color w:val="auto"/>
          <w:sz w:val="32"/>
          <w:szCs w:val="32"/>
        </w:rPr>
        <w:t>在内蒙古巴彦淖尔市考察时明确指出，“乌梁素海治理和保护的方向是明确的，要用心治理、精心呵护，一以贯之、久久为功，守护好这颗‘塞外明珠’”。</w:t>
      </w:r>
      <w:r>
        <w:rPr>
          <w:rFonts w:hint="eastAsia" w:ascii="方正仿宋_GBK" w:hAnsi="方正仿宋_GBK" w:eastAsia="方正仿宋_GBK" w:cs="方正仿宋_GBK"/>
          <w:b w:val="0"/>
          <w:bCs w:val="0"/>
          <w:color w:val="auto"/>
          <w:sz w:val="32"/>
          <w:szCs w:val="32"/>
          <w:lang w:eastAsia="zh-CN"/>
        </w:rPr>
        <w:t>习近平</w:t>
      </w:r>
      <w:r>
        <w:rPr>
          <w:rFonts w:hint="eastAsia" w:ascii="方正仿宋_GBK" w:hAnsi="方正仿宋_GBK" w:eastAsia="方正仿宋_GBK" w:cs="方正仿宋_GBK"/>
          <w:b w:val="0"/>
          <w:bCs w:val="0"/>
          <w:color w:val="auto"/>
          <w:sz w:val="32"/>
          <w:szCs w:val="32"/>
        </w:rPr>
        <w:t>总书记的重要讲话重要</w:t>
      </w:r>
      <w:r>
        <w:rPr>
          <w:rFonts w:hint="eastAsia" w:ascii="方正仿宋_GBK" w:hAnsi="方正仿宋_GBK" w:eastAsia="方正仿宋_GBK" w:cs="方正仿宋_GBK"/>
          <w:b w:val="0"/>
          <w:bCs w:val="0"/>
          <w:color w:val="auto"/>
          <w:sz w:val="32"/>
          <w:szCs w:val="32"/>
          <w:lang w:eastAsia="zh-CN"/>
        </w:rPr>
        <w:t>指示</w:t>
      </w:r>
      <w:r>
        <w:rPr>
          <w:rFonts w:hint="eastAsia" w:ascii="方正仿宋_GBK" w:hAnsi="方正仿宋_GBK" w:eastAsia="方正仿宋_GBK" w:cs="方正仿宋_GBK"/>
          <w:b w:val="0"/>
          <w:bCs w:val="0"/>
          <w:color w:val="auto"/>
          <w:sz w:val="32"/>
          <w:szCs w:val="32"/>
        </w:rPr>
        <w:t>批示为内蒙古湿地保</w:t>
      </w:r>
      <w:r>
        <w:rPr>
          <w:rFonts w:hint="eastAsia" w:ascii="方正仿宋_GBK" w:hAnsi="方正仿宋_GBK" w:eastAsia="方正仿宋_GBK" w:cs="方正仿宋_GBK"/>
          <w:b w:val="0"/>
          <w:bCs w:val="0"/>
          <w:color w:val="auto"/>
          <w:sz w:val="32"/>
          <w:szCs w:val="32"/>
          <w:highlight w:val="none"/>
        </w:rPr>
        <w:t>护工作提供了根本遵循和行动指南。</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黄河流域生态保护和高质量发展已成为国家战略。</w:t>
      </w:r>
      <w:r>
        <w:rPr>
          <w:rFonts w:hint="eastAsia" w:ascii="方正仿宋_GBK" w:hAnsi="方正仿宋_GBK" w:eastAsia="方正仿宋_GBK" w:cs="方正仿宋_GBK"/>
          <w:b w:val="0"/>
          <w:bCs w:val="0"/>
          <w:color w:val="auto"/>
          <w:sz w:val="32"/>
          <w:szCs w:val="32"/>
          <w:lang w:eastAsia="zh-CN"/>
        </w:rPr>
        <w:t>近年来，国家</w:t>
      </w:r>
      <w:r>
        <w:rPr>
          <w:rFonts w:hint="eastAsia" w:ascii="方正仿宋_GBK" w:hAnsi="方正仿宋_GBK" w:eastAsia="方正仿宋_GBK" w:cs="方正仿宋_GBK"/>
          <w:b w:val="0"/>
          <w:bCs w:val="0"/>
          <w:color w:val="auto"/>
          <w:sz w:val="32"/>
          <w:szCs w:val="32"/>
        </w:rPr>
        <w:t>先后</w:t>
      </w:r>
      <w:r>
        <w:rPr>
          <w:rFonts w:hint="eastAsia" w:ascii="方正仿宋_GBK" w:hAnsi="方正仿宋_GBK" w:eastAsia="方正仿宋_GBK" w:cs="方正仿宋_GBK"/>
          <w:b w:val="0"/>
          <w:bCs w:val="0"/>
          <w:color w:val="auto"/>
          <w:sz w:val="32"/>
          <w:szCs w:val="32"/>
          <w:lang w:eastAsia="zh-CN"/>
        </w:rPr>
        <w:t>制定出台</w:t>
      </w:r>
      <w:r>
        <w:rPr>
          <w:rFonts w:hint="eastAsia" w:ascii="方正仿宋_GBK" w:hAnsi="方正仿宋_GBK" w:eastAsia="方正仿宋_GBK" w:cs="方正仿宋_GBK"/>
          <w:b w:val="0"/>
          <w:bCs w:val="0"/>
          <w:color w:val="auto"/>
          <w:sz w:val="32"/>
          <w:szCs w:val="32"/>
        </w:rPr>
        <w:t>《全国重要生态系统保护和修复重大工程总体规划（2021</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2035年）》</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《黄河流域生态保护和高质量发展规划纲要》</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《中华人民共和国黄河保护法》，黄河流域生态保护和高质量发展已</w:t>
      </w:r>
      <w:r>
        <w:rPr>
          <w:rFonts w:hint="eastAsia" w:ascii="方正仿宋_GBK" w:hAnsi="方正仿宋_GBK" w:eastAsia="方正仿宋_GBK" w:cs="方正仿宋_GBK"/>
          <w:b w:val="0"/>
          <w:bCs w:val="0"/>
          <w:color w:val="auto"/>
          <w:sz w:val="32"/>
          <w:szCs w:val="32"/>
          <w:lang w:eastAsia="zh-CN"/>
        </w:rPr>
        <w:t>于</w:t>
      </w:r>
      <w:r>
        <w:rPr>
          <w:rFonts w:hint="eastAsia" w:ascii="方正仿宋_GBK" w:hAnsi="方正仿宋_GBK" w:eastAsia="方正仿宋_GBK" w:cs="方正仿宋_GBK"/>
          <w:b w:val="0"/>
          <w:bCs w:val="0"/>
          <w:color w:val="auto"/>
          <w:sz w:val="32"/>
          <w:szCs w:val="32"/>
          <w:lang w:val="en-US" w:eastAsia="zh-CN"/>
        </w:rPr>
        <w:t>2019年9月</w:t>
      </w:r>
      <w:r>
        <w:rPr>
          <w:rFonts w:hint="eastAsia" w:ascii="方正仿宋_GBK" w:hAnsi="方正仿宋_GBK" w:eastAsia="方正仿宋_GBK" w:cs="方正仿宋_GBK"/>
          <w:b w:val="0"/>
          <w:bCs w:val="0"/>
          <w:color w:val="auto"/>
          <w:sz w:val="32"/>
          <w:szCs w:val="32"/>
        </w:rPr>
        <w:t>上升为重大国家战略</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内蒙古地处黄河流域中上游</w:t>
      </w:r>
      <w:r>
        <w:rPr>
          <w:rFonts w:hint="eastAsia" w:ascii="方正仿宋_GBK" w:hAnsi="方正仿宋_GBK" w:eastAsia="方正仿宋_GBK" w:cs="方正仿宋_GBK"/>
          <w:b w:val="0"/>
          <w:bCs w:val="0"/>
          <w:color w:val="auto"/>
          <w:sz w:val="32"/>
          <w:szCs w:val="32"/>
          <w:lang w:eastAsia="zh-CN"/>
        </w:rPr>
        <w:t>“几字弯”</w:t>
      </w:r>
      <w:r>
        <w:rPr>
          <w:rFonts w:hint="eastAsia" w:ascii="方正仿宋_GBK" w:hAnsi="方正仿宋_GBK" w:eastAsia="方正仿宋_GBK" w:cs="方正仿宋_GBK"/>
          <w:b w:val="0"/>
          <w:bCs w:val="0"/>
          <w:color w:val="auto"/>
          <w:sz w:val="32"/>
          <w:szCs w:val="32"/>
        </w:rPr>
        <w:t>区域，必须坚决贯彻落实党中央决策部署，紧紧抓住实施黄河流域生态保护和高质量发展重大国家战略的历史机遇，坚定不移走以生态优先、绿色发展为导向的高质量发展新路子，将黄河湿地保护作为黄河流域生态保护和高质量发展的重要内容。</w:t>
      </w:r>
      <w:r>
        <w:rPr>
          <w:rFonts w:hint="eastAsia" w:ascii="方正仿宋_GBK" w:hAnsi="方正仿宋_GBK" w:eastAsia="方正仿宋_GBK" w:cs="方正仿宋_GBK"/>
          <w:b w:val="0"/>
          <w:bCs w:val="0"/>
          <w:color w:val="auto"/>
          <w:sz w:val="32"/>
          <w:szCs w:val="32"/>
          <w:lang w:eastAsia="zh-CN"/>
        </w:rPr>
        <w:t>同时，</w:t>
      </w:r>
      <w:r>
        <w:rPr>
          <w:rFonts w:hint="eastAsia" w:ascii="方正仿宋_GBK" w:hAnsi="方正仿宋_GBK" w:eastAsia="方正仿宋_GBK" w:cs="方正仿宋_GBK"/>
          <w:b w:val="0"/>
          <w:bCs w:val="0"/>
          <w:color w:val="auto"/>
          <w:sz w:val="32"/>
          <w:szCs w:val="32"/>
        </w:rPr>
        <w:t>全力打好“</w:t>
      </w:r>
      <w:r>
        <w:rPr>
          <w:rFonts w:hint="eastAsia" w:ascii="方正仿宋_GBK" w:hAnsi="方正仿宋_GBK" w:eastAsia="方正仿宋_GBK" w:cs="方正仿宋_GBK"/>
          <w:b w:val="0"/>
          <w:bCs w:val="0"/>
          <w:color w:val="auto"/>
          <w:sz w:val="32"/>
          <w:szCs w:val="32"/>
          <w:lang w:eastAsia="zh-CN"/>
        </w:rPr>
        <w:t>三北”工程和</w:t>
      </w:r>
      <w:r>
        <w:rPr>
          <w:rFonts w:hint="eastAsia" w:ascii="方正仿宋_GBK" w:hAnsi="方正仿宋_GBK" w:eastAsia="方正仿宋_GBK" w:cs="方正仿宋_GBK"/>
          <w:b w:val="0"/>
          <w:bCs w:val="0"/>
          <w:color w:val="auto"/>
          <w:sz w:val="32"/>
          <w:szCs w:val="32"/>
        </w:rPr>
        <w:t>三大标志性战役，为黄河</w:t>
      </w:r>
      <w:r>
        <w:rPr>
          <w:rFonts w:hint="eastAsia" w:ascii="方正仿宋_GBK" w:hAnsi="方正仿宋_GBK" w:eastAsia="方正仿宋_GBK" w:cs="方正仿宋_GBK"/>
          <w:b w:val="0"/>
          <w:bCs w:val="0"/>
          <w:color w:val="auto"/>
          <w:sz w:val="32"/>
          <w:szCs w:val="32"/>
          <w:lang w:eastAsia="zh-CN"/>
        </w:rPr>
        <w:t>“几字弯”区域</w:t>
      </w:r>
      <w:r>
        <w:rPr>
          <w:rFonts w:hint="eastAsia" w:ascii="方正仿宋_GBK" w:hAnsi="方正仿宋_GBK" w:eastAsia="方正仿宋_GBK" w:cs="方正仿宋_GBK"/>
          <w:b w:val="0"/>
          <w:bCs w:val="0"/>
          <w:color w:val="auto"/>
          <w:sz w:val="32"/>
          <w:szCs w:val="32"/>
        </w:rPr>
        <w:t>高质量发展提供生态支撑。</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人民群众对优美生态环境期待和支持为湿地保护提供了有利条件。党的十八大提出要“增强生态产品生产能力”，党的十九大明确提出“要提供更多优质生态产品以满足人民日益增长的优美生态环境的需要”。党的二十大对生态文明建设作出新部署，提出“站在人与自然和谐共生的高度谋划发展，开启湿地保护高质量发展新篇章”。</w:t>
      </w:r>
      <w:r>
        <w:rPr>
          <w:rFonts w:hint="eastAsia" w:ascii="方正仿宋_GBK" w:hAnsi="方正仿宋_GBK" w:eastAsia="方正仿宋_GBK" w:cs="方正仿宋_GBK"/>
          <w:b w:val="0"/>
          <w:bCs w:val="0"/>
          <w:color w:val="auto"/>
          <w:sz w:val="32"/>
          <w:szCs w:val="32"/>
          <w:lang w:eastAsia="zh-CN"/>
        </w:rPr>
        <w:t>要坚持</w:t>
      </w:r>
      <w:r>
        <w:rPr>
          <w:rFonts w:hint="eastAsia" w:ascii="方正仿宋_GBK" w:hAnsi="方正仿宋_GBK" w:eastAsia="方正仿宋_GBK" w:cs="方正仿宋_GBK"/>
          <w:b w:val="0"/>
          <w:bCs w:val="0"/>
          <w:color w:val="auto"/>
          <w:sz w:val="32"/>
          <w:szCs w:val="32"/>
        </w:rPr>
        <w:t>湿地惠民、湿地利民、湿地为民，有效提供更多更丰富的优质湿地生态产品，让湿地成为人民群众共享的绿色空间，不断满足人民日益增长的优美生态环境需要。</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探索生态产品价值实现有利于长期坚持“两山”理念。“两</w:t>
      </w:r>
      <w:r>
        <w:rPr>
          <w:rFonts w:hint="eastAsia" w:ascii="方正仿宋_GBK" w:hAnsi="方正仿宋_GBK" w:eastAsia="方正仿宋_GBK" w:cs="方正仿宋_GBK"/>
          <w:b w:val="0"/>
          <w:bCs w:val="0"/>
          <w:caps w:val="0"/>
          <w:smallCaps/>
          <w:color w:val="auto"/>
          <w:spacing w:val="-6"/>
          <w:sz w:val="32"/>
          <w:szCs w:val="32"/>
        </w:rPr>
        <w:t>山”理念的根本内涵是“绿水青山就是金山银山”，要把“两山”理</w:t>
      </w:r>
      <w:r>
        <w:rPr>
          <w:rFonts w:hint="eastAsia" w:ascii="方正仿宋_GBK" w:hAnsi="方正仿宋_GBK" w:eastAsia="方正仿宋_GBK" w:cs="方正仿宋_GBK"/>
          <w:b w:val="0"/>
          <w:bCs w:val="0"/>
          <w:color w:val="auto"/>
          <w:sz w:val="32"/>
          <w:szCs w:val="32"/>
        </w:rPr>
        <w:t>念长期有效的落实下去，不仅要坚守生态保护的底线要求，更要</w:t>
      </w:r>
      <w:r>
        <w:rPr>
          <w:rFonts w:hint="eastAsia" w:ascii="方正仿宋_GBK" w:hAnsi="方正仿宋_GBK" w:eastAsia="方正仿宋_GBK" w:cs="方正仿宋_GBK"/>
          <w:b w:val="0"/>
          <w:bCs w:val="0"/>
          <w:caps w:val="0"/>
          <w:smallCaps/>
          <w:color w:val="auto"/>
          <w:spacing w:val="-6"/>
          <w:sz w:val="32"/>
          <w:szCs w:val="32"/>
        </w:rPr>
        <w:t>在生态产品价值实现上下功夫，让生态产品体现其应有的价值，促进绿水青山加快转化为金山银山，满足人民对美好生活的向往，促</w:t>
      </w:r>
      <w:r>
        <w:rPr>
          <w:rFonts w:hint="eastAsia" w:ascii="方正仿宋_GBK" w:hAnsi="方正仿宋_GBK" w:eastAsia="方正仿宋_GBK" w:cs="方正仿宋_GBK"/>
          <w:b w:val="0"/>
          <w:bCs w:val="0"/>
          <w:color w:val="auto"/>
          <w:sz w:val="32"/>
          <w:szCs w:val="32"/>
        </w:rPr>
        <w:t>进生态保护与加快发展的内在统一。</w:t>
      </w:r>
      <w:bookmarkStart w:id="20" w:name="_Toc149727781"/>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仿宋_GBK" w:hAnsi="方正仿宋_GBK" w:eastAsia="方正仿宋_GBK" w:cs="方正仿宋_GBK"/>
          <w:b w:val="0"/>
          <w:bCs w:val="0"/>
          <w:color w:val="auto"/>
          <w:sz w:val="32"/>
          <w:szCs w:val="32"/>
        </w:rPr>
      </w:pPr>
      <w:r>
        <w:rPr>
          <w:rFonts w:hint="eastAsia" w:ascii="方正黑体_GBK" w:hAnsi="方正黑体_GBK" w:eastAsia="方正黑体_GBK" w:cs="方正黑体_GBK"/>
          <w:b w:val="0"/>
          <w:bCs w:val="0"/>
          <w:color w:val="auto"/>
          <w:sz w:val="32"/>
          <w:szCs w:val="32"/>
        </w:rPr>
        <w:t>第二章  总体要求</w:t>
      </w:r>
      <w:bookmarkEnd w:id="20"/>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bookmarkStart w:id="21" w:name="_Toc149727782"/>
      <w:r>
        <w:rPr>
          <w:rFonts w:hint="eastAsia" w:ascii="方正楷体_GBK" w:hAnsi="方正楷体_GBK" w:eastAsia="方正楷体_GBK" w:cs="方正楷体_GBK"/>
          <w:b w:val="0"/>
          <w:bCs w:val="0"/>
          <w:color w:val="auto"/>
          <w:sz w:val="32"/>
          <w:szCs w:val="32"/>
        </w:rPr>
        <w:t xml:space="preserve">第一节 </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指导思想</w:t>
      </w:r>
      <w:bookmarkEnd w:id="21"/>
    </w:p>
    <w:bookmarkEnd w:id="11"/>
    <w:p>
      <w:pPr>
        <w:keepNext w:val="0"/>
        <w:keepLines w:val="0"/>
        <w:pageBreakBefore w:val="0"/>
        <w:widowControl w:val="0"/>
        <w:kinsoku/>
        <w:wordWrap/>
        <w:overflowPunct/>
        <w:topLinePunct/>
        <w:autoSpaceDE/>
        <w:autoSpaceDN/>
        <w:bidi w:val="0"/>
        <w:spacing w:line="580" w:lineRule="exact"/>
        <w:ind w:firstLine="640"/>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以习近平新时代中国特色社会主义思想为指导，全面贯彻落实党的二十大精神，深入践行习近平生态文明思想，牢固树立绿水青山就是金山银山理念，坚持统筹山水林田湖草沙一体化保护和系统治理，以全面保护湿地和提供优美生态产品为目标，以推进湿地保护高质量发展为主线，以实施湿地保护修复工程为抓手，全面贯彻实施《</w:t>
      </w:r>
      <w:r>
        <w:rPr>
          <w:rFonts w:hint="eastAsia" w:ascii="方正仿宋_GBK" w:hAnsi="方正仿宋_GBK" w:eastAsia="方正仿宋_GBK" w:cs="方正仿宋_GBK"/>
          <w:b w:val="0"/>
          <w:bCs w:val="0"/>
          <w:color w:val="auto"/>
          <w:sz w:val="32"/>
          <w:szCs w:val="32"/>
          <w:lang w:eastAsia="zh-CN"/>
        </w:rPr>
        <w:t>中华人民共和国</w:t>
      </w:r>
      <w:r>
        <w:rPr>
          <w:rFonts w:hint="eastAsia" w:ascii="方正仿宋_GBK" w:hAnsi="方正仿宋_GBK" w:eastAsia="方正仿宋_GBK" w:cs="方正仿宋_GBK"/>
          <w:b w:val="0"/>
          <w:bCs w:val="0"/>
          <w:color w:val="auto"/>
          <w:sz w:val="32"/>
          <w:szCs w:val="32"/>
        </w:rPr>
        <w:t>湿地保护法》，建立健全部门协作、总量管控、分级管理、系统修复、科学利用的湿地保护管理体系，为打好“三北”工程攻坚战</w:t>
      </w:r>
      <w:r>
        <w:rPr>
          <w:rFonts w:hint="eastAsia" w:ascii="方正仿宋_GBK" w:hAnsi="方正仿宋_GBK" w:eastAsia="方正仿宋_GBK" w:cs="方正仿宋_GBK"/>
          <w:b w:val="0"/>
          <w:bCs w:val="0"/>
          <w:color w:val="auto"/>
          <w:sz w:val="32"/>
          <w:szCs w:val="32"/>
          <w:lang w:eastAsia="zh-CN"/>
        </w:rPr>
        <w:t>和</w:t>
      </w:r>
      <w:r>
        <w:rPr>
          <w:rFonts w:hint="eastAsia" w:ascii="方正仿宋_GBK" w:hAnsi="方正仿宋_GBK" w:eastAsia="方正仿宋_GBK" w:cs="方正仿宋_GBK"/>
          <w:b w:val="0"/>
          <w:bCs w:val="0"/>
          <w:color w:val="auto"/>
          <w:sz w:val="32"/>
          <w:szCs w:val="32"/>
        </w:rPr>
        <w:t>三大标志性战役，加强生态环境保护，筑牢我国北方重要生态安全屏障</w:t>
      </w:r>
      <w:r>
        <w:rPr>
          <w:rFonts w:hint="eastAsia" w:ascii="方正仿宋_GBK" w:hAnsi="方正仿宋_GBK" w:eastAsia="方正仿宋_GBK" w:cs="方正仿宋_GBK"/>
          <w:b w:val="0"/>
          <w:bCs w:val="0"/>
          <w:color w:val="auto"/>
          <w:sz w:val="32"/>
          <w:szCs w:val="32"/>
          <w:lang w:eastAsia="zh-CN"/>
        </w:rPr>
        <w:t>作</w:t>
      </w:r>
      <w:r>
        <w:rPr>
          <w:rFonts w:hint="eastAsia" w:ascii="方正仿宋_GBK" w:hAnsi="方正仿宋_GBK" w:eastAsia="方正仿宋_GBK" w:cs="方正仿宋_GBK"/>
          <w:b w:val="0"/>
          <w:bCs w:val="0"/>
          <w:color w:val="auto"/>
          <w:sz w:val="32"/>
          <w:szCs w:val="32"/>
        </w:rPr>
        <w:t>出新贡献。</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第二节</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 xml:space="preserve"> 基本原则</w:t>
      </w:r>
    </w:p>
    <w:p>
      <w:pPr>
        <w:pStyle w:val="24"/>
        <w:keepNext w:val="0"/>
        <w:keepLines w:val="0"/>
        <w:pageBreakBefore w:val="0"/>
        <w:widowControl w:val="0"/>
        <w:kinsoku/>
        <w:wordWrap/>
        <w:overflowPunct/>
        <w:topLinePunct/>
        <w:autoSpaceDE/>
        <w:autoSpaceDN/>
        <w:bidi w:val="0"/>
        <w:adjustRightInd/>
        <w:spacing w:line="580" w:lineRule="exact"/>
        <w:ind w:firstLine="678"/>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坚持保护优先，综合运用自然恢复和人工修复。实行最严格的湿地保护制度，严守生态保护红线，对现有湿地生态系统的结构、功能和生态过程进行有效保护。综合运用自然恢复和人工修复两种手段，对退化较为严重的湿地加以人工干预辅助，尊重自然、顺应自然、保护自然，促进湿地正向演替，科学修复退化湿地生态系统。</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——坚持统筹兼顾，推进系统治理。依据全国主体功能区定位和《全国重要生态系统保护和修复重大工程总体规划（2021</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2035年）》，坚持山水林田湖草沙生命共同体理念，考虑当地水资源条件和承载能力，统筹水源涵养、水质净化、生物多样性保护，推进上下游、左右岸、干支流协同治理，开展全面保护、系统修复、综合治理，提升湿地生态系统的质量和稳定性。</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——坚持问题导向</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锚定重点区域。考虑不同区域湿地特点，以生态本底和自然禀赋为基础，突出重要生态区位和重点治理区，因地制宜，分类分区施策，优先支持自治区级及以上重要湿地实施保护修复工程，集中发力，促进湿地生态功能提升。</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——坚持创新驱动，健全体制机制。</w:t>
      </w:r>
      <w:bookmarkStart w:id="22" w:name="_Toc149727783"/>
      <w:r>
        <w:rPr>
          <w:rFonts w:hint="eastAsia" w:ascii="方正仿宋_GBK" w:hAnsi="方正仿宋_GBK" w:eastAsia="方正仿宋_GBK" w:cs="方正仿宋_GBK"/>
          <w:b w:val="0"/>
          <w:bCs w:val="0"/>
          <w:color w:val="auto"/>
          <w:sz w:val="32"/>
          <w:szCs w:val="32"/>
        </w:rPr>
        <w:t>发挥市场配置资源的决定性作用，优化资源配置，使更多生产要素流向湿地生态保护修复工程，释放政策红利，拓宽投融资渠道，完善湿地生态保护补偿机制。强化科技支撑，不断提高湿地保护修复科技含量，提升湿地生态系统的质量。</w:t>
      </w:r>
      <w:bookmarkEnd w:id="22"/>
      <w:bookmarkStart w:id="23" w:name="_Toc472500611"/>
      <w:bookmarkStart w:id="24" w:name="_Toc364859379"/>
      <w:bookmarkStart w:id="25" w:name="_Toc149727784"/>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 xml:space="preserve">第三节 </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规划目标</w:t>
      </w:r>
      <w:bookmarkEnd w:id="23"/>
      <w:bookmarkEnd w:id="24"/>
      <w:bookmarkEnd w:id="25"/>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aps w:val="0"/>
          <w:smallCaps/>
          <w:color w:val="auto"/>
          <w:spacing w:val="-6"/>
          <w:sz w:val="32"/>
          <w:szCs w:val="32"/>
        </w:rPr>
      </w:pPr>
      <w:r>
        <w:rPr>
          <w:rFonts w:hint="eastAsia" w:ascii="方正仿宋_GBK" w:hAnsi="方正仿宋_GBK" w:eastAsia="方正仿宋_GBK" w:cs="方正仿宋_GBK"/>
          <w:b w:val="0"/>
          <w:bCs w:val="0"/>
          <w:color w:val="auto"/>
          <w:sz w:val="32"/>
          <w:szCs w:val="32"/>
          <w:lang w:val="en-US" w:eastAsia="zh-CN"/>
        </w:rPr>
        <w:t>1.</w:t>
      </w:r>
      <w:r>
        <w:rPr>
          <w:rFonts w:hint="eastAsia" w:ascii="方正仿宋_GBK" w:hAnsi="方正仿宋_GBK" w:eastAsia="方正仿宋_GBK" w:cs="方正仿宋_GBK"/>
          <w:b w:val="0"/>
          <w:bCs w:val="0"/>
          <w:color w:val="auto"/>
          <w:sz w:val="32"/>
          <w:szCs w:val="32"/>
        </w:rPr>
        <w:t>总体目标</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对内蒙古区域内湿地实施全面保护，科学恢复退化湿地，提高湿地生态系统质量和稳定性，湿地保护与恢复初见成效，全区湿地保有量总体稳定。全面加强黄河流域、“一湖两海”、察汗淖尔等湿地</w:t>
      </w:r>
      <w:r>
        <w:rPr>
          <w:rFonts w:hint="eastAsia" w:ascii="方正仿宋_GBK" w:hAnsi="方正仿宋_GBK" w:eastAsia="方正仿宋_GBK" w:cs="方正仿宋_GBK"/>
          <w:b w:val="0"/>
          <w:bCs w:val="0"/>
          <w:color w:val="auto"/>
          <w:sz w:val="32"/>
          <w:szCs w:val="32"/>
          <w:lang w:eastAsia="zh-CN"/>
        </w:rPr>
        <w:t>的</w:t>
      </w:r>
      <w:r>
        <w:rPr>
          <w:rFonts w:hint="eastAsia" w:ascii="方正仿宋_GBK" w:hAnsi="方正仿宋_GBK" w:eastAsia="方正仿宋_GBK" w:cs="方正仿宋_GBK"/>
          <w:b w:val="0"/>
          <w:bCs w:val="0"/>
          <w:color w:val="auto"/>
          <w:sz w:val="32"/>
          <w:szCs w:val="32"/>
        </w:rPr>
        <w:t>保护与修复，提升湿地监测监管能力</w:t>
      </w:r>
      <w:r>
        <w:rPr>
          <w:rFonts w:hint="eastAsia" w:ascii="方正仿宋_GBK" w:hAnsi="方正仿宋_GBK" w:eastAsia="方正仿宋_GBK" w:cs="方正仿宋_GBK"/>
          <w:b w:val="0"/>
          <w:bCs w:val="0"/>
          <w:color w:val="auto"/>
          <w:sz w:val="32"/>
          <w:szCs w:val="32"/>
          <w:lang w:eastAsia="zh-CN"/>
        </w:rPr>
        <w:t>和</w:t>
      </w:r>
      <w:r>
        <w:rPr>
          <w:rFonts w:hint="eastAsia" w:ascii="方正仿宋_GBK" w:hAnsi="方正仿宋_GBK" w:eastAsia="方正仿宋_GBK" w:cs="方正仿宋_GBK"/>
          <w:b w:val="0"/>
          <w:bCs w:val="0"/>
          <w:color w:val="auto"/>
          <w:sz w:val="32"/>
          <w:szCs w:val="32"/>
        </w:rPr>
        <w:t>水平</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到2030年，</w:t>
      </w:r>
      <w:r>
        <w:rPr>
          <w:rFonts w:hint="eastAsia" w:ascii="方正仿宋_GBK" w:hAnsi="方正仿宋_GBK" w:eastAsia="方正仿宋_GBK" w:cs="方正仿宋_GBK"/>
          <w:b w:val="0"/>
          <w:bCs w:val="0"/>
          <w:color w:val="auto"/>
          <w:sz w:val="32"/>
          <w:szCs w:val="32"/>
          <w:lang w:eastAsia="zh-CN"/>
        </w:rPr>
        <w:t>全区</w:t>
      </w:r>
      <w:r>
        <w:rPr>
          <w:rFonts w:hint="eastAsia" w:ascii="方正仿宋_GBK" w:hAnsi="方正仿宋_GBK" w:eastAsia="方正仿宋_GBK" w:cs="方正仿宋_GBK"/>
          <w:b w:val="0"/>
          <w:bCs w:val="0"/>
          <w:color w:val="auto"/>
          <w:sz w:val="32"/>
          <w:szCs w:val="32"/>
        </w:rPr>
        <w:t>湿地保护综合管理体系和高质量发展新格局初步建立，湿地生态系统功能和生物多样性明显改善，湿地</w:t>
      </w:r>
      <w:r>
        <w:rPr>
          <w:rFonts w:hint="eastAsia" w:ascii="方正仿宋_GBK" w:hAnsi="方正仿宋_GBK" w:eastAsia="方正仿宋_GBK" w:cs="方正仿宋_GBK"/>
          <w:b w:val="0"/>
          <w:bCs w:val="0"/>
          <w:caps w:val="0"/>
          <w:smallCaps/>
          <w:color w:val="auto"/>
          <w:spacing w:val="-6"/>
          <w:sz w:val="32"/>
          <w:szCs w:val="32"/>
        </w:rPr>
        <w:t>固碳能力得到提高，湿地监测能力和湿地保护法治化水平持续提升。</w:t>
      </w:r>
    </w:p>
    <w:p>
      <w:pPr>
        <w:pStyle w:val="24"/>
        <w:keepNext w:val="0"/>
        <w:keepLines w:val="0"/>
        <w:pageBreakBefore w:val="0"/>
        <w:widowControl w:val="0"/>
        <w:kinsoku/>
        <w:wordWrap/>
        <w:overflowPunct/>
        <w:topLinePunct/>
        <w:autoSpaceDE/>
        <w:autoSpaceDN/>
        <w:bidi w:val="0"/>
        <w:spacing w:line="580" w:lineRule="exact"/>
        <w:ind w:left="0" w:firstLine="640" w:firstLineChars="200"/>
        <w:jc w:val="both"/>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lang w:val="en-US" w:eastAsia="zh-CN"/>
        </w:rPr>
        <w:t>2.</w:t>
      </w:r>
      <w:r>
        <w:rPr>
          <w:rFonts w:hint="eastAsia" w:ascii="方正仿宋_GBK" w:hAnsi="方正仿宋_GBK" w:eastAsia="方正仿宋_GBK" w:cs="方正仿宋_GBK"/>
          <w:b w:val="0"/>
          <w:bCs w:val="0"/>
          <w:color w:val="auto"/>
          <w:sz w:val="32"/>
          <w:szCs w:val="32"/>
        </w:rPr>
        <w:t>具体目标</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到2025年末</w:t>
      </w:r>
      <w:r>
        <w:rPr>
          <w:rFonts w:hint="eastAsia" w:ascii="方正仿宋_GBK" w:hAnsi="方正仿宋_GBK" w:eastAsia="方正仿宋_GBK" w:cs="方正仿宋_GBK"/>
          <w:b w:val="0"/>
          <w:bCs w:val="0"/>
          <w:color w:val="auto"/>
          <w:sz w:val="32"/>
          <w:szCs w:val="32"/>
          <w:lang w:eastAsia="zh-CN"/>
        </w:rPr>
        <w:t>，推动</w:t>
      </w:r>
      <w:r>
        <w:rPr>
          <w:rFonts w:hint="eastAsia" w:ascii="方正仿宋_GBK" w:hAnsi="方正仿宋_GBK" w:eastAsia="方正仿宋_GBK" w:cs="方正仿宋_GBK"/>
          <w:b w:val="0"/>
          <w:bCs w:val="0"/>
          <w:color w:val="auto"/>
          <w:sz w:val="32"/>
          <w:szCs w:val="32"/>
        </w:rPr>
        <w:t>完成《内蒙古自治区湿地保护条例》</w:t>
      </w:r>
      <w:r>
        <w:rPr>
          <w:rFonts w:hint="eastAsia" w:ascii="方正仿宋_GBK" w:hAnsi="方正仿宋_GBK" w:eastAsia="方正仿宋_GBK" w:cs="方正仿宋_GBK"/>
          <w:b w:val="0"/>
          <w:bCs w:val="0"/>
          <w:color w:val="auto"/>
          <w:sz w:val="32"/>
          <w:szCs w:val="32"/>
          <w:lang w:eastAsia="zh-CN"/>
        </w:rPr>
        <w:t>的</w:t>
      </w:r>
      <w:r>
        <w:rPr>
          <w:rFonts w:hint="eastAsia" w:ascii="方正仿宋_GBK" w:hAnsi="方正仿宋_GBK" w:eastAsia="方正仿宋_GBK" w:cs="方正仿宋_GBK"/>
          <w:b w:val="0"/>
          <w:bCs w:val="0"/>
          <w:color w:val="auto"/>
          <w:sz w:val="32"/>
          <w:szCs w:val="32"/>
        </w:rPr>
        <w:t>修订颁布</w:t>
      </w:r>
      <w:r>
        <w:rPr>
          <w:rFonts w:hint="eastAsia" w:ascii="方正仿宋_GBK" w:hAnsi="方正仿宋_GBK" w:eastAsia="方正仿宋_GBK" w:cs="方正仿宋_GBK"/>
          <w:b w:val="0"/>
          <w:bCs w:val="0"/>
          <w:color w:val="auto"/>
          <w:sz w:val="32"/>
          <w:szCs w:val="32"/>
          <w:lang w:eastAsia="zh-CN"/>
        </w:rPr>
        <w:t>工作。</w:t>
      </w:r>
      <w:r>
        <w:rPr>
          <w:rFonts w:hint="eastAsia" w:ascii="方正仿宋_GBK" w:hAnsi="方正仿宋_GBK" w:eastAsia="方正仿宋_GBK" w:cs="方正仿宋_GBK"/>
          <w:b w:val="0"/>
          <w:bCs w:val="0"/>
          <w:color w:val="auto"/>
          <w:sz w:val="32"/>
          <w:szCs w:val="32"/>
        </w:rPr>
        <w:t>到2030年末，全区湿地面积保持基本稳定；争取晋升国际重要湿地1处、国家重要湿地3处、自治区重要湿地16处；晋升国家湿地公园2处；拟新建自治区级湿地公园2处、自治区级自然保护区1处；推进7处国家湿地公园（试点）建设验收；建设5处智慧湿地公园；持续开展林草湿综合监测432个湿地固定样地和变化图斑调查，建立全区湿地天</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地</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空监测、评估、预警体系。（</w:t>
      </w:r>
      <w:r>
        <w:rPr>
          <w:rFonts w:hint="eastAsia" w:ascii="方正仿宋_GBK" w:hAnsi="方正仿宋_GBK" w:eastAsia="方正仿宋_GBK" w:cs="方正仿宋_GBK"/>
          <w:b w:val="0"/>
          <w:bCs w:val="0"/>
          <w:color w:val="auto"/>
          <w:sz w:val="32"/>
          <w:szCs w:val="32"/>
          <w:lang w:eastAsia="zh-CN"/>
        </w:rPr>
        <w:t>详见</w:t>
      </w:r>
      <w:r>
        <w:rPr>
          <w:rFonts w:hint="eastAsia" w:ascii="方正仿宋_GBK" w:hAnsi="方正仿宋_GBK" w:eastAsia="方正仿宋_GBK" w:cs="方正仿宋_GBK"/>
          <w:b w:val="0"/>
          <w:bCs w:val="0"/>
          <w:color w:val="auto"/>
          <w:sz w:val="32"/>
          <w:szCs w:val="32"/>
        </w:rPr>
        <w:t>表2-1）</w:t>
      </w:r>
    </w:p>
    <w:p>
      <w:pPr>
        <w:rPr>
          <w:rFonts w:hint="eastAsia" w:ascii="方正仿宋_GBK" w:hAnsi="方正仿宋_GBK" w:eastAsia="方正仿宋_GBK" w:cs="方正仿宋_GBK"/>
          <w:b w:val="0"/>
          <w:bCs w:val="0"/>
          <w:color w:val="auto"/>
          <w:sz w:val="32"/>
          <w:szCs w:val="32"/>
        </w:rPr>
      </w:pPr>
    </w:p>
    <w:p>
      <w:pPr>
        <w:pStyle w:val="2"/>
        <w:rPr>
          <w:rFonts w:hint="eastAsia"/>
        </w:rPr>
      </w:pPr>
      <w:bookmarkStart w:id="46" w:name="_GoBack"/>
      <w:bookmarkEnd w:id="46"/>
    </w:p>
    <w:p>
      <w:pPr>
        <w:jc w:val="center"/>
        <w:rPr>
          <w:rFonts w:hint="eastAsia"/>
        </w:rPr>
      </w:pPr>
      <w:r>
        <w:rPr>
          <w:rFonts w:hint="eastAsia" w:ascii="方正黑体_GBK" w:hAnsi="方正黑体_GBK" w:eastAsia="方正黑体_GBK" w:cs="方正黑体_GBK"/>
          <w:b w:val="0"/>
          <w:bCs w:val="0"/>
          <w:color w:val="auto"/>
          <w:sz w:val="32"/>
          <w:szCs w:val="32"/>
        </w:rPr>
        <w:t xml:space="preserve">表2-1 </w:t>
      </w:r>
      <w:r>
        <w:rPr>
          <w:rFonts w:hint="eastAsia" w:ascii="方正黑体_GBK" w:hAnsi="方正黑体_GBK" w:eastAsia="方正黑体_GBK" w:cs="方正黑体_GBK"/>
          <w:b w:val="0"/>
          <w:bCs w:val="0"/>
          <w:color w:val="auto"/>
          <w:sz w:val="32"/>
          <w:szCs w:val="32"/>
          <w:lang w:val="en-US" w:eastAsia="zh-CN"/>
        </w:rPr>
        <w:t xml:space="preserve"> </w:t>
      </w:r>
      <w:r>
        <w:rPr>
          <w:rFonts w:hint="eastAsia" w:ascii="方正黑体_GBK" w:hAnsi="方正黑体_GBK" w:eastAsia="方正黑体_GBK" w:cs="方正黑体_GBK"/>
          <w:b w:val="0"/>
          <w:bCs w:val="0"/>
          <w:color w:val="auto"/>
          <w:sz w:val="32"/>
          <w:szCs w:val="32"/>
        </w:rPr>
        <w:t>内蒙古自治区湿地保护规划主要指</w:t>
      </w:r>
      <w:r>
        <w:rPr>
          <w:rFonts w:hint="eastAsia" w:ascii="方正黑体_GBK" w:hAnsi="方正黑体_GBK" w:eastAsia="方正黑体_GBK" w:cs="方正黑体_GBK"/>
          <w:b w:val="0"/>
          <w:bCs w:val="0"/>
          <w:color w:val="auto"/>
          <w:sz w:val="32"/>
          <w:szCs w:val="32"/>
          <w:lang w:eastAsia="zh-CN"/>
        </w:rPr>
        <w:t>标</w:t>
      </w:r>
    </w:p>
    <w:tbl>
      <w:tblPr>
        <w:tblStyle w:val="28"/>
        <w:tblW w:w="8941" w:type="dxa"/>
        <w:jc w:val="center"/>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3613"/>
        <w:gridCol w:w="1215"/>
        <w:gridCol w:w="1601"/>
        <w:gridCol w:w="1545"/>
        <w:gridCol w:w="967"/>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446" w:hRule="exact"/>
          <w:tblHeader/>
          <w:jc w:val="center"/>
        </w:trPr>
        <w:tc>
          <w:tcPr>
            <w:tcW w:w="3613"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指</w:t>
            </w:r>
            <w:r>
              <w:rPr>
                <w:rFonts w:hint="eastAsia" w:ascii="黑体" w:hAnsi="黑体" w:eastAsia="黑体" w:cs="黑体"/>
                <w:b w:val="0"/>
                <w:bCs w:val="0"/>
                <w:color w:val="auto"/>
                <w:kern w:val="0"/>
                <w:sz w:val="21"/>
                <w:szCs w:val="21"/>
                <w:lang w:val="en-US" w:eastAsia="zh-CN"/>
              </w:rPr>
              <w:t xml:space="preserve">  </w:t>
            </w:r>
            <w:r>
              <w:rPr>
                <w:rFonts w:hint="eastAsia" w:ascii="黑体" w:hAnsi="黑体" w:eastAsia="黑体" w:cs="黑体"/>
                <w:b w:val="0"/>
                <w:bCs w:val="0"/>
                <w:color w:val="auto"/>
                <w:kern w:val="0"/>
                <w:sz w:val="21"/>
                <w:szCs w:val="21"/>
              </w:rPr>
              <w:t>标</w:t>
            </w:r>
            <w:r>
              <w:rPr>
                <w:rFonts w:hint="eastAsia" w:ascii="黑体" w:hAnsi="黑体" w:eastAsia="黑体" w:cs="黑体"/>
                <w:b w:val="0"/>
                <w:bCs w:val="0"/>
                <w:color w:val="auto"/>
                <w:kern w:val="0"/>
                <w:sz w:val="21"/>
                <w:szCs w:val="21"/>
                <w:lang w:val="en-US" w:eastAsia="zh-CN"/>
              </w:rPr>
              <w:t xml:space="preserve">  </w:t>
            </w:r>
            <w:r>
              <w:rPr>
                <w:rFonts w:hint="eastAsia" w:ascii="黑体" w:hAnsi="黑体" w:eastAsia="黑体" w:cs="黑体"/>
                <w:b w:val="0"/>
                <w:bCs w:val="0"/>
                <w:color w:val="auto"/>
                <w:kern w:val="0"/>
                <w:sz w:val="21"/>
                <w:szCs w:val="21"/>
              </w:rPr>
              <w:t>名</w:t>
            </w:r>
            <w:r>
              <w:rPr>
                <w:rFonts w:hint="eastAsia" w:ascii="黑体" w:hAnsi="黑体" w:eastAsia="黑体" w:cs="黑体"/>
                <w:b w:val="0"/>
                <w:bCs w:val="0"/>
                <w:color w:val="auto"/>
                <w:kern w:val="0"/>
                <w:sz w:val="21"/>
                <w:szCs w:val="21"/>
                <w:lang w:val="en-US" w:eastAsia="zh-CN"/>
              </w:rPr>
              <w:t xml:space="preserve">  </w:t>
            </w:r>
            <w:r>
              <w:rPr>
                <w:rFonts w:hint="eastAsia" w:ascii="黑体" w:hAnsi="黑体" w:eastAsia="黑体" w:cs="黑体"/>
                <w:b w:val="0"/>
                <w:bCs w:val="0"/>
                <w:color w:val="auto"/>
                <w:kern w:val="0"/>
                <w:sz w:val="21"/>
                <w:szCs w:val="21"/>
              </w:rPr>
              <w:t>称</w:t>
            </w:r>
          </w:p>
        </w:tc>
        <w:tc>
          <w:tcPr>
            <w:tcW w:w="121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2021年</w:t>
            </w:r>
          </w:p>
        </w:tc>
        <w:tc>
          <w:tcPr>
            <w:tcW w:w="1601"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2025年</w:t>
            </w:r>
          </w:p>
        </w:tc>
        <w:tc>
          <w:tcPr>
            <w:tcW w:w="1545"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2030年</w:t>
            </w:r>
          </w:p>
        </w:tc>
        <w:tc>
          <w:tcPr>
            <w:tcW w:w="967"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属性</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69" w:hRule="exact"/>
          <w:jc w:val="center"/>
        </w:trPr>
        <w:tc>
          <w:tcPr>
            <w:tcW w:w="3613"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left"/>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湿地保有量（万公顷）</w:t>
            </w:r>
          </w:p>
        </w:tc>
        <w:tc>
          <w:tcPr>
            <w:tcW w:w="121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485.52</w:t>
            </w:r>
          </w:p>
        </w:tc>
        <w:tc>
          <w:tcPr>
            <w:tcW w:w="1601"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基本稳定</w:t>
            </w:r>
          </w:p>
        </w:tc>
        <w:tc>
          <w:tcPr>
            <w:tcW w:w="1545"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基本稳定</w:t>
            </w:r>
          </w:p>
        </w:tc>
        <w:tc>
          <w:tcPr>
            <w:tcW w:w="967"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约束性</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69" w:hRule="exact"/>
          <w:jc w:val="center"/>
        </w:trPr>
        <w:tc>
          <w:tcPr>
            <w:tcW w:w="3613"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left"/>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《内蒙古自治区湿地保护条例》</w:t>
            </w:r>
          </w:p>
        </w:tc>
        <w:tc>
          <w:tcPr>
            <w:tcW w:w="121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lang w:val="en-US" w:eastAsia="zh-CN"/>
              </w:rPr>
            </w:pPr>
            <w:r>
              <w:rPr>
                <w:rFonts w:hint="eastAsia" w:ascii="宋体" w:hAnsi="宋体" w:eastAsia="宋体" w:cs="宋体"/>
                <w:b w:val="0"/>
                <w:bCs w:val="0"/>
                <w:color w:val="auto"/>
                <w:kern w:val="0"/>
                <w:sz w:val="21"/>
                <w:szCs w:val="21"/>
                <w:lang w:val="en-US" w:eastAsia="zh-CN"/>
              </w:rPr>
              <w:t>/</w:t>
            </w:r>
          </w:p>
        </w:tc>
        <w:tc>
          <w:tcPr>
            <w:tcW w:w="1601"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完成修订并颁布</w:t>
            </w:r>
          </w:p>
        </w:tc>
        <w:tc>
          <w:tcPr>
            <w:tcW w:w="1545"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lang w:val="en-US" w:eastAsia="zh-CN"/>
              </w:rPr>
            </w:pPr>
            <w:r>
              <w:rPr>
                <w:rFonts w:hint="eastAsia" w:ascii="宋体" w:hAnsi="宋体" w:eastAsia="宋体" w:cs="宋体"/>
                <w:b w:val="0"/>
                <w:bCs w:val="0"/>
                <w:color w:val="auto"/>
                <w:kern w:val="0"/>
                <w:sz w:val="21"/>
                <w:szCs w:val="21"/>
                <w:lang w:val="en-US" w:eastAsia="zh-CN"/>
              </w:rPr>
              <w:t>/</w:t>
            </w:r>
          </w:p>
        </w:tc>
        <w:tc>
          <w:tcPr>
            <w:tcW w:w="967"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约束性</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69" w:hRule="exact"/>
          <w:jc w:val="center"/>
        </w:trPr>
        <w:tc>
          <w:tcPr>
            <w:tcW w:w="3613"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left"/>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国际重要湿地（处）</w:t>
            </w:r>
          </w:p>
        </w:tc>
        <w:tc>
          <w:tcPr>
            <w:tcW w:w="121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4</w:t>
            </w:r>
          </w:p>
        </w:tc>
        <w:tc>
          <w:tcPr>
            <w:tcW w:w="1601"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4</w:t>
            </w:r>
          </w:p>
        </w:tc>
        <w:tc>
          <w:tcPr>
            <w:tcW w:w="1545"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5</w:t>
            </w:r>
          </w:p>
        </w:tc>
        <w:tc>
          <w:tcPr>
            <w:tcW w:w="967"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预期性</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69" w:hRule="exact"/>
          <w:jc w:val="center"/>
        </w:trPr>
        <w:tc>
          <w:tcPr>
            <w:tcW w:w="3613"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left"/>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国家重要湿地（处）</w:t>
            </w:r>
          </w:p>
        </w:tc>
        <w:tc>
          <w:tcPr>
            <w:tcW w:w="121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0</w:t>
            </w:r>
          </w:p>
        </w:tc>
        <w:tc>
          <w:tcPr>
            <w:tcW w:w="1601"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1</w:t>
            </w:r>
          </w:p>
        </w:tc>
        <w:tc>
          <w:tcPr>
            <w:tcW w:w="1545"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3</w:t>
            </w:r>
          </w:p>
        </w:tc>
        <w:tc>
          <w:tcPr>
            <w:tcW w:w="967"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预期性</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69" w:hRule="exact"/>
          <w:jc w:val="center"/>
        </w:trPr>
        <w:tc>
          <w:tcPr>
            <w:tcW w:w="3613"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left"/>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自治区重要湿地（处）</w:t>
            </w:r>
          </w:p>
        </w:tc>
        <w:tc>
          <w:tcPr>
            <w:tcW w:w="121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47</w:t>
            </w:r>
          </w:p>
        </w:tc>
        <w:tc>
          <w:tcPr>
            <w:tcW w:w="1601"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59</w:t>
            </w:r>
          </w:p>
        </w:tc>
        <w:tc>
          <w:tcPr>
            <w:tcW w:w="1545"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63</w:t>
            </w:r>
          </w:p>
        </w:tc>
        <w:tc>
          <w:tcPr>
            <w:tcW w:w="967"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预期性</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69" w:hRule="exact"/>
          <w:jc w:val="center"/>
        </w:trPr>
        <w:tc>
          <w:tcPr>
            <w:tcW w:w="3613"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left"/>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sz w:val="21"/>
                <w:szCs w:val="21"/>
              </w:rPr>
              <w:t>国家湿地公园（处）</w:t>
            </w:r>
          </w:p>
        </w:tc>
        <w:tc>
          <w:tcPr>
            <w:tcW w:w="121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53</w:t>
            </w:r>
          </w:p>
        </w:tc>
        <w:tc>
          <w:tcPr>
            <w:tcW w:w="1601"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55</w:t>
            </w:r>
          </w:p>
        </w:tc>
        <w:tc>
          <w:tcPr>
            <w:tcW w:w="1545"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55</w:t>
            </w:r>
          </w:p>
        </w:tc>
        <w:tc>
          <w:tcPr>
            <w:tcW w:w="967"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预期性</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69" w:hRule="exact"/>
          <w:jc w:val="center"/>
        </w:trPr>
        <w:tc>
          <w:tcPr>
            <w:tcW w:w="3613"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left"/>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自治区湿地公园（处）</w:t>
            </w:r>
          </w:p>
        </w:tc>
        <w:tc>
          <w:tcPr>
            <w:tcW w:w="121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10</w:t>
            </w:r>
          </w:p>
        </w:tc>
        <w:tc>
          <w:tcPr>
            <w:tcW w:w="1601"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8（晋升2处）</w:t>
            </w:r>
          </w:p>
        </w:tc>
        <w:tc>
          <w:tcPr>
            <w:tcW w:w="1545"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10（新建2处）</w:t>
            </w:r>
          </w:p>
        </w:tc>
        <w:tc>
          <w:tcPr>
            <w:tcW w:w="967"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预期性</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69" w:hRule="exact"/>
          <w:jc w:val="center"/>
        </w:trPr>
        <w:tc>
          <w:tcPr>
            <w:tcW w:w="3613"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left"/>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智慧湿地公园</w:t>
            </w:r>
          </w:p>
        </w:tc>
        <w:tc>
          <w:tcPr>
            <w:tcW w:w="121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1601"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1545"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5</w:t>
            </w:r>
          </w:p>
        </w:tc>
        <w:tc>
          <w:tcPr>
            <w:tcW w:w="967"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预期性</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69" w:hRule="exact"/>
          <w:jc w:val="center"/>
        </w:trPr>
        <w:tc>
          <w:tcPr>
            <w:tcW w:w="3613"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left"/>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湿地样地监测（块）</w:t>
            </w:r>
          </w:p>
        </w:tc>
        <w:tc>
          <w:tcPr>
            <w:tcW w:w="121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1601"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432</w:t>
            </w:r>
          </w:p>
        </w:tc>
        <w:tc>
          <w:tcPr>
            <w:tcW w:w="1545"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432</w:t>
            </w:r>
          </w:p>
        </w:tc>
        <w:tc>
          <w:tcPr>
            <w:tcW w:w="967"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预期性</w:t>
            </w:r>
          </w:p>
        </w:tc>
      </w:tr>
    </w:tbl>
    <w:p>
      <w:pPr>
        <w:pStyle w:val="3"/>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left="0" w:leftChars="0" w:firstLine="0" w:firstLineChars="0"/>
        <w:jc w:val="center"/>
        <w:textAlignment w:val="auto"/>
        <w:rPr>
          <w:rFonts w:hint="eastAsia" w:ascii="方正黑体_GBK" w:hAnsi="方正黑体_GBK" w:eastAsia="方正黑体_GBK" w:cs="方正黑体_GBK"/>
          <w:b w:val="0"/>
          <w:bCs w:val="0"/>
          <w:color w:val="auto"/>
          <w:sz w:val="32"/>
          <w:szCs w:val="32"/>
        </w:rPr>
      </w:pPr>
      <w:bookmarkStart w:id="26" w:name="_Toc149727785"/>
      <w:r>
        <w:rPr>
          <w:rFonts w:hint="eastAsia" w:ascii="方正黑体_GBK" w:hAnsi="方正黑体_GBK" w:eastAsia="方正黑体_GBK" w:cs="方正黑体_GBK"/>
          <w:b w:val="0"/>
          <w:bCs w:val="0"/>
          <w:color w:val="auto"/>
          <w:sz w:val="32"/>
          <w:szCs w:val="32"/>
        </w:rPr>
        <w:t>第三章  空间布局</w:t>
      </w:r>
      <w:bookmarkEnd w:id="26"/>
    </w:p>
    <w:p>
      <w:pPr>
        <w:keepNext w:val="0"/>
        <w:keepLines w:val="0"/>
        <w:pageBreakBefore w:val="0"/>
        <w:widowControl w:val="0"/>
        <w:kinsoku/>
        <w:wordWrap/>
        <w:overflowPunct/>
        <w:topLinePunct/>
        <w:autoSpaceDE/>
        <w:autoSpaceDN/>
        <w:bidi w:val="0"/>
        <w:adjustRightInd/>
        <w:spacing w:line="580" w:lineRule="exact"/>
        <w:ind w:firstLine="640"/>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依据内蒙古河流流域特殊性，结合</w:t>
      </w:r>
      <w:r>
        <w:rPr>
          <w:rFonts w:hint="eastAsia" w:ascii="方正仿宋_GBK" w:hAnsi="方正仿宋_GBK" w:eastAsia="方正仿宋_GBK" w:cs="方正仿宋_GBK"/>
          <w:b w:val="0"/>
          <w:bCs w:val="0"/>
          <w:color w:val="auto"/>
          <w:sz w:val="32"/>
          <w:szCs w:val="32"/>
          <w:lang w:eastAsia="zh-CN"/>
        </w:rPr>
        <w:t>全</w:t>
      </w:r>
      <w:r>
        <w:rPr>
          <w:rFonts w:hint="eastAsia" w:ascii="方正仿宋_GBK" w:hAnsi="方正仿宋_GBK" w:eastAsia="方正仿宋_GBK" w:cs="方正仿宋_GBK"/>
          <w:b w:val="0"/>
          <w:bCs w:val="0"/>
          <w:color w:val="auto"/>
          <w:sz w:val="32"/>
          <w:szCs w:val="32"/>
        </w:rPr>
        <w:t>区湿地分布特点和自然资源现状，规划5个湿地生态功能区，分别是嫩江与额尔古纳河湿地生态保护恢复区、西辽河湿地生态保护修复区、滦河与永定河湿地生态保护区、黄河湿地重点生态区、内流河湿地生态保护修复区。</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bookmarkStart w:id="27" w:name="_Toc149727786"/>
      <w:r>
        <w:rPr>
          <w:rFonts w:hint="eastAsia" w:ascii="方正楷体_GBK" w:hAnsi="方正楷体_GBK" w:eastAsia="方正楷体_GBK" w:cs="方正楷体_GBK"/>
          <w:b w:val="0"/>
          <w:bCs w:val="0"/>
          <w:color w:val="auto"/>
          <w:sz w:val="32"/>
          <w:szCs w:val="32"/>
        </w:rPr>
        <w:t>第一节</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 xml:space="preserve"> 嫩江与额尔古纳河湿地生态保护恢复区</w:t>
      </w:r>
      <w:bookmarkEnd w:id="27"/>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1.</w:t>
      </w:r>
      <w:r>
        <w:rPr>
          <w:rFonts w:hint="eastAsia" w:ascii="方正仿宋_GBK" w:hAnsi="方正仿宋_GBK" w:eastAsia="方正仿宋_GBK" w:cs="方正仿宋_GBK"/>
          <w:b w:val="0"/>
          <w:bCs w:val="0"/>
          <w:color w:val="auto"/>
          <w:sz w:val="32"/>
          <w:szCs w:val="32"/>
        </w:rPr>
        <w:t>区域现状</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区域范围包括嫩江水系和额尔古纳河水系，两水系流域</w:t>
      </w:r>
      <w:r>
        <w:rPr>
          <w:rFonts w:hint="eastAsia" w:ascii="方正仿宋_GBK" w:hAnsi="方正仿宋_GBK" w:eastAsia="方正仿宋_GBK" w:cs="方正仿宋_GBK"/>
          <w:b w:val="0"/>
          <w:bCs w:val="0"/>
          <w:caps w:val="0"/>
          <w:smallCaps/>
          <w:color w:val="auto"/>
          <w:spacing w:val="-6"/>
          <w:sz w:val="32"/>
          <w:szCs w:val="32"/>
        </w:rPr>
        <w:t>国土面积32.31万平方公里，其中</w:t>
      </w:r>
      <w:r>
        <w:rPr>
          <w:rFonts w:hint="eastAsia" w:ascii="方正仿宋_GBK" w:hAnsi="方正仿宋_GBK" w:eastAsia="方正仿宋_GBK" w:cs="方正仿宋_GBK"/>
          <w:b w:val="0"/>
          <w:bCs w:val="0"/>
          <w:caps w:val="0"/>
          <w:smallCaps/>
          <w:color w:val="auto"/>
          <w:spacing w:val="-6"/>
          <w:sz w:val="32"/>
          <w:szCs w:val="32"/>
          <w:lang w:eastAsia="zh-CN"/>
        </w:rPr>
        <w:t>，</w:t>
      </w:r>
      <w:r>
        <w:rPr>
          <w:rFonts w:hint="eastAsia" w:ascii="方正仿宋_GBK" w:hAnsi="方正仿宋_GBK" w:eastAsia="方正仿宋_GBK" w:cs="方正仿宋_GBK"/>
          <w:b w:val="0"/>
          <w:bCs w:val="0"/>
          <w:caps w:val="0"/>
          <w:smallCaps/>
          <w:color w:val="auto"/>
          <w:spacing w:val="-6"/>
          <w:sz w:val="32"/>
          <w:szCs w:val="32"/>
        </w:rPr>
        <w:t>湿地面积3.09万平方公里，占全区湿地总面积的63.65%，涵盖流域内呼伦贝尔市、兴安盟、通辽市的23个旗县（</w:t>
      </w:r>
      <w:r>
        <w:rPr>
          <w:rFonts w:hint="eastAsia" w:ascii="方正仿宋_GBK" w:hAnsi="方正仿宋_GBK" w:eastAsia="方正仿宋_GBK" w:cs="方正仿宋_GBK"/>
          <w:b w:val="0"/>
          <w:bCs w:val="0"/>
          <w:caps w:val="0"/>
          <w:smallCaps/>
          <w:color w:val="auto"/>
          <w:spacing w:val="-6"/>
          <w:sz w:val="32"/>
          <w:szCs w:val="32"/>
          <w:lang w:eastAsia="zh-CN"/>
        </w:rPr>
        <w:t>市、</w:t>
      </w:r>
      <w:r>
        <w:rPr>
          <w:rFonts w:hint="eastAsia" w:ascii="方正仿宋_GBK" w:hAnsi="方正仿宋_GBK" w:eastAsia="方正仿宋_GBK" w:cs="方正仿宋_GBK"/>
          <w:b w:val="0"/>
          <w:bCs w:val="0"/>
          <w:caps w:val="0"/>
          <w:smallCaps/>
          <w:color w:val="auto"/>
          <w:spacing w:val="-6"/>
          <w:sz w:val="32"/>
          <w:szCs w:val="32"/>
        </w:rPr>
        <w:t>区），主要河流</w:t>
      </w:r>
      <w:r>
        <w:rPr>
          <w:rFonts w:hint="eastAsia" w:ascii="方正仿宋_GBK" w:hAnsi="方正仿宋_GBK" w:eastAsia="方正仿宋_GBK" w:cs="方正仿宋_GBK"/>
          <w:b w:val="0"/>
          <w:bCs w:val="0"/>
          <w:color w:val="auto"/>
          <w:sz w:val="32"/>
          <w:szCs w:val="32"/>
        </w:rPr>
        <w:t>有嫩江、甘河、诺敏河、毕拉河、阿伦河、雅鲁河、绰尔河、洮儿河、归流河、蛟流河、霍林河、额尔古纳河、海拉尔河、伊敏河、库都尔河、大雁河、免渡河、辉河、恩和哈达河、乌玛河、激流河、根河、莫尔道嘎河、德尔布尔河、哈乌尔河、吉尔布干河、图里河，主要湖泊有呼伦湖、贝尔湖、乌兰诺尔、达尔滨湖等</w:t>
      </w:r>
      <w:r>
        <w:rPr>
          <w:rFonts w:hint="eastAsia" w:ascii="方正仿宋_GBK" w:hAnsi="方正仿宋_GBK" w:eastAsia="方正仿宋_GBK" w:cs="方正仿宋_GBK"/>
          <w:b w:val="0"/>
          <w:bCs w:val="0"/>
          <w:color w:val="auto"/>
          <w:sz w:val="32"/>
          <w:szCs w:val="32"/>
          <w:lang w:val="en-US" w:eastAsia="zh-CN"/>
        </w:rPr>
        <w:t>。</w:t>
      </w:r>
      <w:r>
        <w:rPr>
          <w:rFonts w:hint="eastAsia" w:ascii="方正仿宋_GBK" w:hAnsi="方正仿宋_GBK" w:eastAsia="方正仿宋_GBK" w:cs="方正仿宋_GBK"/>
          <w:b w:val="0"/>
          <w:bCs w:val="0"/>
          <w:color w:val="auto"/>
          <w:sz w:val="32"/>
          <w:szCs w:val="32"/>
        </w:rPr>
        <w:t>规划区域具有大河特有的原始自然景观，是内蒙古河流湿地、湖泊湿地的主要组成部分，也是全区森林沼泽、灌丛沼泽、沼泽草地集中分布区。该区域位于亚洲中部蒙古高原的东北缘，属寒温带和中温带大陆性季风气候，</w:t>
      </w:r>
      <w:r>
        <w:rPr>
          <w:rFonts w:hint="eastAsia" w:ascii="方正仿宋_GBK" w:hAnsi="方正仿宋_GBK" w:eastAsia="方正仿宋_GBK" w:cs="方正仿宋_GBK"/>
          <w:b w:val="0"/>
          <w:bCs w:val="0"/>
          <w:color w:val="auto"/>
          <w:sz w:val="32"/>
          <w:szCs w:val="32"/>
          <w:lang w:eastAsia="zh-CN"/>
        </w:rPr>
        <w:t>年</w:t>
      </w:r>
      <w:r>
        <w:rPr>
          <w:rFonts w:hint="eastAsia" w:ascii="方正仿宋_GBK" w:hAnsi="方正仿宋_GBK" w:eastAsia="方正仿宋_GBK" w:cs="方正仿宋_GBK"/>
          <w:b w:val="0"/>
          <w:bCs w:val="0"/>
          <w:color w:val="auto"/>
          <w:sz w:val="32"/>
          <w:szCs w:val="32"/>
        </w:rPr>
        <w:t>降雨量</w:t>
      </w:r>
      <w:r>
        <w:rPr>
          <w:rFonts w:hint="eastAsia" w:ascii="方正仿宋_GBK" w:hAnsi="方正仿宋_GBK" w:eastAsia="方正仿宋_GBK" w:cs="方正仿宋_GBK"/>
          <w:b w:val="0"/>
          <w:bCs w:val="0"/>
          <w:color w:val="auto"/>
          <w:sz w:val="32"/>
          <w:szCs w:val="32"/>
          <w:lang w:eastAsia="zh-CN"/>
        </w:rPr>
        <w:t>为</w:t>
      </w:r>
      <w:r>
        <w:rPr>
          <w:rFonts w:hint="eastAsia" w:ascii="方正仿宋_GBK" w:hAnsi="方正仿宋_GBK" w:eastAsia="方正仿宋_GBK" w:cs="方正仿宋_GBK"/>
          <w:b w:val="0"/>
          <w:bCs w:val="0"/>
          <w:color w:val="auto"/>
          <w:sz w:val="32"/>
          <w:szCs w:val="32"/>
        </w:rPr>
        <w:t>240</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520毫米；</w:t>
      </w:r>
      <w:r>
        <w:rPr>
          <w:rFonts w:hint="eastAsia" w:ascii="方正仿宋_GBK" w:hAnsi="方正仿宋_GBK" w:eastAsia="方正仿宋_GBK" w:cs="方正仿宋_GBK"/>
          <w:b w:val="0"/>
          <w:bCs w:val="0"/>
          <w:color w:val="auto"/>
          <w:sz w:val="32"/>
          <w:szCs w:val="32"/>
          <w:lang w:eastAsia="zh-CN"/>
        </w:rPr>
        <w:t>属</w:t>
      </w:r>
      <w:r>
        <w:rPr>
          <w:rFonts w:hint="eastAsia" w:ascii="方正仿宋_GBK" w:hAnsi="方正仿宋_GBK" w:eastAsia="方正仿宋_GBK" w:cs="方正仿宋_GBK"/>
          <w:b w:val="0"/>
          <w:bCs w:val="0"/>
          <w:color w:val="auto"/>
          <w:sz w:val="32"/>
          <w:szCs w:val="32"/>
        </w:rPr>
        <w:t>高原型地貌，由大兴安岭山地、呼伦贝尔高原、河谷平原低地</w:t>
      </w:r>
      <w:r>
        <w:rPr>
          <w:rFonts w:hint="eastAsia" w:ascii="方正仿宋_GBK" w:hAnsi="方正仿宋_GBK" w:eastAsia="方正仿宋_GBK" w:cs="方正仿宋_GBK"/>
          <w:b w:val="0"/>
          <w:bCs w:val="0"/>
          <w:color w:val="auto"/>
          <w:sz w:val="32"/>
          <w:szCs w:val="32"/>
          <w:lang w:val="en-US" w:eastAsia="zh-CN"/>
        </w:rPr>
        <w:t>3</w:t>
      </w:r>
      <w:r>
        <w:rPr>
          <w:rFonts w:hint="eastAsia" w:ascii="方正仿宋_GBK" w:hAnsi="方正仿宋_GBK" w:eastAsia="方正仿宋_GBK" w:cs="方正仿宋_GBK"/>
          <w:b w:val="0"/>
          <w:bCs w:val="0"/>
          <w:color w:val="auto"/>
          <w:sz w:val="32"/>
          <w:szCs w:val="32"/>
        </w:rPr>
        <w:t>个地形单元组成；植被分布由森林向草原过渡，是鸟类东亚</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澳大利西亚迁飞通道的中继站；大面积的沼泽湿地保持有极优越的生物多样性和生境多样性资源，是内蒙古生态环境的重要载体。</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2.</w:t>
      </w:r>
      <w:r>
        <w:rPr>
          <w:rFonts w:hint="eastAsia" w:ascii="方正仿宋_GBK" w:hAnsi="方正仿宋_GBK" w:eastAsia="方正仿宋_GBK" w:cs="方正仿宋_GBK"/>
          <w:b w:val="0"/>
          <w:bCs w:val="0"/>
          <w:color w:val="auto"/>
          <w:sz w:val="32"/>
          <w:szCs w:val="32"/>
        </w:rPr>
        <w:t>主要问题</w:t>
      </w:r>
      <w:r>
        <w:rPr>
          <w:rFonts w:hint="eastAsia" w:ascii="方正仿宋_GBK" w:hAnsi="方正仿宋_GBK" w:eastAsia="方正仿宋_GBK" w:cs="方正仿宋_GBK"/>
          <w:b w:val="0"/>
          <w:bCs w:val="0"/>
          <w:color w:val="auto"/>
          <w:sz w:val="32"/>
          <w:szCs w:val="32"/>
          <w:lang w:val="en-US" w:eastAsia="zh-CN"/>
        </w:rPr>
        <w:t>。</w:t>
      </w:r>
      <w:r>
        <w:rPr>
          <w:rFonts w:hint="eastAsia" w:ascii="方正仿宋_GBK" w:hAnsi="方正仿宋_GBK" w:eastAsia="方正仿宋_GBK" w:cs="方正仿宋_GBK"/>
          <w:b w:val="0"/>
          <w:bCs w:val="0"/>
          <w:color w:val="auto"/>
          <w:sz w:val="32"/>
          <w:szCs w:val="32"/>
        </w:rPr>
        <w:t>嫩江流域社会经济的快速发展对湿地中野生动物栖息地及植被造成威胁。部分工业</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农业和生活污染物等对湖泊与河流湿地造成不良影响，随着养殖和入湖污染排放的增加，水体富营养化程度增加。湿地分布较为分散，保护管理基础设施薄弱，难度大。湿地存在潜在退化风险。额尔古纳流域湿地分布较为分散，人为干扰少，但保护管理基础设施薄弱，管理难度大。</w:t>
      </w:r>
    </w:p>
    <w:p>
      <w:pPr>
        <w:pStyle w:val="24"/>
        <w:keepNext w:val="0"/>
        <w:keepLines w:val="0"/>
        <w:pageBreakBefore w:val="0"/>
        <w:widowControl w:val="0"/>
        <w:kinsoku/>
        <w:wordWrap/>
        <w:overflowPunct/>
        <w:topLinePunct/>
        <w:autoSpaceDE/>
        <w:autoSpaceDN/>
        <w:bidi w:val="0"/>
        <w:adjustRightInd/>
        <w:spacing w:line="580" w:lineRule="exact"/>
        <w:ind w:firstLine="678"/>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3.</w:t>
      </w:r>
      <w:r>
        <w:rPr>
          <w:rFonts w:hint="eastAsia" w:ascii="方正仿宋_GBK" w:hAnsi="方正仿宋_GBK" w:eastAsia="方正仿宋_GBK" w:cs="方正仿宋_GBK"/>
          <w:b w:val="0"/>
          <w:bCs w:val="0"/>
          <w:color w:val="auto"/>
          <w:sz w:val="32"/>
          <w:szCs w:val="32"/>
        </w:rPr>
        <w:t>主攻方向</w:t>
      </w:r>
      <w:bookmarkStart w:id="28" w:name="_Toc149727787"/>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嫩江流域</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统筹山水林田湖草沙一体化保护和系统治理，综合运用自然恢复和人工修复两种手段，科学开展湿地保护恢复，强化重点区域沼泽湿地、湖泊湿地保护管理和珍稀濒危物种栖息地保护，提高河湖水系连通性，净化湿地水体，以</w:t>
      </w:r>
      <w:r>
        <w:rPr>
          <w:rFonts w:hint="eastAsia" w:ascii="方正仿宋_GBK" w:hAnsi="方正仿宋_GBK" w:eastAsia="方正仿宋_GBK" w:cs="方正仿宋_GBK"/>
          <w:b w:val="0"/>
          <w:bCs w:val="0"/>
          <w:caps w:val="0"/>
          <w:smallCaps/>
          <w:color w:val="auto"/>
          <w:spacing w:val="-6"/>
          <w:sz w:val="32"/>
          <w:szCs w:val="32"/>
        </w:rPr>
        <w:t>湿地公园和湿地保护区建设带动辐射周边区域的湿地保护恢复，提升</w:t>
      </w:r>
      <w:r>
        <w:rPr>
          <w:rFonts w:hint="eastAsia" w:ascii="方正仿宋_GBK" w:hAnsi="方正仿宋_GBK" w:eastAsia="方正仿宋_GBK" w:cs="方正仿宋_GBK"/>
          <w:b w:val="0"/>
          <w:bCs w:val="0"/>
          <w:color w:val="auto"/>
          <w:sz w:val="32"/>
          <w:szCs w:val="32"/>
        </w:rPr>
        <w:t>湿地生态系统稳定性，维护湿地生态功能</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额尔古纳流域</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加强湿地保护管理基础设施建设、人员培训，提升湿地监测监管能力水平。</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第二节</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西辽河湿地生态保护修复区</w:t>
      </w:r>
      <w:bookmarkEnd w:id="28"/>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1.</w:t>
      </w:r>
      <w:r>
        <w:rPr>
          <w:rFonts w:hint="eastAsia" w:ascii="方正仿宋_GBK" w:hAnsi="方正仿宋_GBK" w:eastAsia="方正仿宋_GBK" w:cs="方正仿宋_GBK"/>
          <w:b w:val="0"/>
          <w:bCs w:val="0"/>
          <w:color w:val="auto"/>
          <w:sz w:val="32"/>
          <w:szCs w:val="32"/>
        </w:rPr>
        <w:t>区域现状</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区域范围属于西辽河水系，水系流域国土面积13.72万平方公里，其中</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湿地面积0.20万平方公里，占全区湿地总面积的4.03%，涵盖流域内的赤峰市和通辽市的19个旗县（</w:t>
      </w:r>
      <w:r>
        <w:rPr>
          <w:rFonts w:hint="eastAsia" w:ascii="方正仿宋_GBK" w:hAnsi="方正仿宋_GBK" w:eastAsia="方正仿宋_GBK" w:cs="方正仿宋_GBK"/>
          <w:b w:val="0"/>
          <w:bCs w:val="0"/>
          <w:color w:val="auto"/>
          <w:sz w:val="32"/>
          <w:szCs w:val="32"/>
          <w:lang w:eastAsia="zh-CN"/>
        </w:rPr>
        <w:t>市、</w:t>
      </w:r>
      <w:r>
        <w:rPr>
          <w:rFonts w:hint="eastAsia" w:ascii="方正仿宋_GBK" w:hAnsi="方正仿宋_GBK" w:eastAsia="方正仿宋_GBK" w:cs="方正仿宋_GBK"/>
          <w:b w:val="0"/>
          <w:bCs w:val="0"/>
          <w:color w:val="auto"/>
          <w:sz w:val="32"/>
          <w:szCs w:val="32"/>
        </w:rPr>
        <w:t>区），主要河流有西辽河、老哈河、西拉木伦河、教来河、查干木伦河、新开河、乌力吉木伦河、海哈尔河、大清河等，区域处于衔接东北平原、华北平原和蒙古高原的三角区域的农牧业交错带</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地势低平，河床开阔，形成大面积河漫滩、一级阶地，除此之外，大部分为风积沙所覆盖，形成科尔沁沙地，分布流动沙丘、半固定沙丘和固定沙丘；气候属中温带半干旱气候区，年降水量为320</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430毫米；分布温带草原、暖温带落叶阔叶林和温带性灌丛等多种类型自然植被，拥有河流湿地、湖泊湿地和沼泽湿地等多种类型的湿地，属于敏感的生态过渡带，在维持区域的生态平衡中起着至关重要的作用。</w:t>
      </w:r>
    </w:p>
    <w:p>
      <w:pPr>
        <w:pStyle w:val="24"/>
        <w:keepNext w:val="0"/>
        <w:keepLines w:val="0"/>
        <w:pageBreakBefore w:val="0"/>
        <w:widowControl w:val="0"/>
        <w:kinsoku/>
        <w:wordWrap/>
        <w:overflowPunct/>
        <w:topLinePunct/>
        <w:autoSpaceDE/>
        <w:autoSpaceDN/>
        <w:bidi w:val="0"/>
        <w:adjustRightInd/>
        <w:spacing w:line="580" w:lineRule="exact"/>
        <w:ind w:firstLine="678"/>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2.</w:t>
      </w:r>
      <w:r>
        <w:rPr>
          <w:rFonts w:hint="eastAsia" w:ascii="方正仿宋_GBK" w:hAnsi="方正仿宋_GBK" w:eastAsia="方正仿宋_GBK" w:cs="方正仿宋_GBK"/>
          <w:b w:val="0"/>
          <w:bCs w:val="0"/>
          <w:color w:val="auto"/>
          <w:sz w:val="32"/>
          <w:szCs w:val="32"/>
        </w:rPr>
        <w:t>主要问题</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受自然、人为因素的影响，湿地面积减少，局部地区水资源匮乏，部分河流断流、湖泊湿地面积萎缩甚至消失，局部地区地下水超采严重，湿地涵养水源、净化水体等生态功能严重退化，生物多样性受损，景观类型趋于单一化。</w:t>
      </w:r>
    </w:p>
    <w:p>
      <w:pPr>
        <w:pStyle w:val="24"/>
        <w:keepNext w:val="0"/>
        <w:keepLines w:val="0"/>
        <w:pageBreakBefore w:val="0"/>
        <w:widowControl w:val="0"/>
        <w:kinsoku/>
        <w:wordWrap/>
        <w:overflowPunct/>
        <w:topLinePunct/>
        <w:autoSpaceDE/>
        <w:autoSpaceDN/>
        <w:bidi w:val="0"/>
        <w:adjustRightInd/>
        <w:spacing w:line="580" w:lineRule="exact"/>
        <w:ind w:firstLine="678"/>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3.</w:t>
      </w:r>
      <w:r>
        <w:rPr>
          <w:rFonts w:hint="eastAsia" w:ascii="方正仿宋_GBK" w:hAnsi="方正仿宋_GBK" w:eastAsia="方正仿宋_GBK" w:cs="方正仿宋_GBK"/>
          <w:b w:val="0"/>
          <w:bCs w:val="0"/>
          <w:color w:val="auto"/>
          <w:sz w:val="32"/>
          <w:szCs w:val="32"/>
        </w:rPr>
        <w:t>主攻方向</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以推动全面保护湿地生态系统</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加强系统综合整治和恢复</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提升水鸟等珍稀濒危物种生境为主攻方向，统筹开展湿地恢复、河湖修复，加强重要湿地整体保护、统一规划、协同治理，对集中连片、功能退化的自然湿地进行系统修复和综合整治。深入开展河湖修复、湿地恢复和地下水超采综合治理，提高湿地生态系统稳定性。</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bookmarkStart w:id="29" w:name="_Toc149727788"/>
      <w:r>
        <w:rPr>
          <w:rFonts w:hint="eastAsia" w:ascii="方正楷体_GBK" w:hAnsi="方正楷体_GBK" w:eastAsia="方正楷体_GBK" w:cs="方正楷体_GBK"/>
          <w:b w:val="0"/>
          <w:bCs w:val="0"/>
          <w:color w:val="auto"/>
          <w:sz w:val="32"/>
          <w:szCs w:val="32"/>
        </w:rPr>
        <w:t>第三节</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 xml:space="preserve"> 滦河与永定河湿地生态保护区</w:t>
      </w:r>
      <w:bookmarkEnd w:id="29"/>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1.</w:t>
      </w:r>
      <w:r>
        <w:rPr>
          <w:rFonts w:hint="eastAsia" w:ascii="方正仿宋_GBK" w:hAnsi="方正仿宋_GBK" w:eastAsia="方正仿宋_GBK" w:cs="方正仿宋_GBK"/>
          <w:b w:val="0"/>
          <w:bCs w:val="0"/>
          <w:color w:val="auto"/>
          <w:sz w:val="32"/>
          <w:szCs w:val="32"/>
        </w:rPr>
        <w:t>区域现</w:t>
      </w:r>
      <w:r>
        <w:rPr>
          <w:rFonts w:hint="eastAsia" w:ascii="方正仿宋_GBK" w:hAnsi="方正仿宋_GBK" w:eastAsia="方正仿宋_GBK" w:cs="方正仿宋_GBK"/>
          <w:b w:val="0"/>
          <w:bCs w:val="0"/>
          <w:color w:val="auto"/>
          <w:sz w:val="32"/>
          <w:szCs w:val="32"/>
          <w:lang w:eastAsia="zh-CN"/>
        </w:rPr>
        <w:t>状。</w:t>
      </w:r>
      <w:r>
        <w:rPr>
          <w:rFonts w:hint="eastAsia" w:ascii="方正仿宋_GBK" w:hAnsi="方正仿宋_GBK" w:eastAsia="方正仿宋_GBK" w:cs="方正仿宋_GBK"/>
          <w:b w:val="0"/>
          <w:bCs w:val="0"/>
          <w:color w:val="auto"/>
          <w:sz w:val="32"/>
          <w:szCs w:val="32"/>
        </w:rPr>
        <w:t>区域范围属于滦河水系和永定河水系，水系流域国土面积1.09万平方公里，其中</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湿地面积0.02万平方公里，占全区湿地总面积的0.39%，涵盖流域内的赤峰市、锡林郭勒盟和乌兰察布市的4个旗县（区），主要河流有吐力根河、一家河、闪电河、后河、银子河、黑水河和饮马河，区域处东北到华北过渡地带，地貌以高寒台地、山地丘陵及山间盆地为主，部分丘陵和盆地上覆浑善达克沙地的沙丘和流沙，年降</w:t>
      </w:r>
      <w:r>
        <w:rPr>
          <w:rFonts w:hint="eastAsia" w:ascii="方正仿宋_GBK" w:hAnsi="方正仿宋_GBK" w:eastAsia="方正仿宋_GBK" w:cs="方正仿宋_GBK"/>
          <w:b w:val="0"/>
          <w:bCs w:val="0"/>
          <w:color w:val="auto"/>
          <w:sz w:val="32"/>
          <w:szCs w:val="32"/>
          <w:lang w:eastAsia="zh-CN"/>
        </w:rPr>
        <w:t>水</w:t>
      </w:r>
      <w:r>
        <w:rPr>
          <w:rFonts w:hint="eastAsia" w:ascii="方正仿宋_GBK" w:hAnsi="方正仿宋_GBK" w:eastAsia="方正仿宋_GBK" w:cs="方正仿宋_GBK"/>
          <w:b w:val="0"/>
          <w:bCs w:val="0"/>
          <w:color w:val="auto"/>
          <w:sz w:val="32"/>
          <w:szCs w:val="32"/>
        </w:rPr>
        <w:t>量</w:t>
      </w:r>
      <w:r>
        <w:rPr>
          <w:rFonts w:hint="eastAsia" w:ascii="方正仿宋_GBK" w:hAnsi="方正仿宋_GBK" w:eastAsia="方正仿宋_GBK" w:cs="方正仿宋_GBK"/>
          <w:b w:val="0"/>
          <w:bCs w:val="0"/>
          <w:color w:val="auto"/>
          <w:sz w:val="32"/>
          <w:szCs w:val="32"/>
          <w:lang w:eastAsia="zh-CN"/>
        </w:rPr>
        <w:t>为</w:t>
      </w:r>
      <w:r>
        <w:rPr>
          <w:rFonts w:hint="eastAsia" w:ascii="方正仿宋_GBK" w:hAnsi="方正仿宋_GBK" w:eastAsia="方正仿宋_GBK" w:cs="方正仿宋_GBK"/>
          <w:b w:val="0"/>
          <w:bCs w:val="0"/>
          <w:color w:val="auto"/>
          <w:sz w:val="32"/>
          <w:szCs w:val="32"/>
        </w:rPr>
        <w:t>400毫米左右，湿地类型以沼泽草地为主，是燕山乃至华北地区重要的生物物种基因库。</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2.</w:t>
      </w:r>
      <w:r>
        <w:rPr>
          <w:rFonts w:hint="eastAsia" w:ascii="方正仿宋_GBK" w:hAnsi="方正仿宋_GBK" w:eastAsia="方正仿宋_GBK" w:cs="方正仿宋_GBK"/>
          <w:b w:val="0"/>
          <w:bCs w:val="0"/>
          <w:color w:val="auto"/>
          <w:sz w:val="32"/>
          <w:szCs w:val="32"/>
        </w:rPr>
        <w:t>主要问题</w:t>
      </w:r>
      <w:r>
        <w:rPr>
          <w:rFonts w:hint="eastAsia" w:ascii="方正仿宋_GBK" w:hAnsi="方正仿宋_GBK" w:eastAsia="方正仿宋_GBK" w:cs="方正仿宋_GBK"/>
          <w:b w:val="0"/>
          <w:bCs w:val="0"/>
          <w:color w:val="auto"/>
          <w:sz w:val="32"/>
          <w:szCs w:val="32"/>
          <w:lang w:eastAsia="zh-CN"/>
        </w:rPr>
        <w:t>。由于</w:t>
      </w:r>
      <w:r>
        <w:rPr>
          <w:rFonts w:hint="eastAsia" w:ascii="方正仿宋_GBK" w:hAnsi="方正仿宋_GBK" w:eastAsia="方正仿宋_GBK" w:cs="方正仿宋_GBK"/>
          <w:b w:val="0"/>
          <w:bCs w:val="0"/>
          <w:color w:val="auto"/>
          <w:sz w:val="32"/>
          <w:szCs w:val="32"/>
        </w:rPr>
        <w:t>地理位置</w:t>
      </w:r>
      <w:r>
        <w:rPr>
          <w:rFonts w:hint="eastAsia" w:ascii="方正仿宋_GBK" w:hAnsi="方正仿宋_GBK" w:eastAsia="方正仿宋_GBK" w:cs="方正仿宋_GBK"/>
          <w:b w:val="0"/>
          <w:bCs w:val="0"/>
          <w:color w:val="auto"/>
          <w:sz w:val="32"/>
          <w:szCs w:val="32"/>
          <w:lang w:eastAsia="zh-CN"/>
        </w:rPr>
        <w:t>的</w:t>
      </w:r>
      <w:r>
        <w:rPr>
          <w:rFonts w:hint="eastAsia" w:ascii="方正仿宋_GBK" w:hAnsi="方正仿宋_GBK" w:eastAsia="方正仿宋_GBK" w:cs="方正仿宋_GBK"/>
          <w:b w:val="0"/>
          <w:bCs w:val="0"/>
          <w:color w:val="auto"/>
          <w:sz w:val="32"/>
          <w:szCs w:val="32"/>
        </w:rPr>
        <w:t>特殊性，人为干扰强，湿地面积减少，局部地区水资源过度开发，部分河流断流、湖泊湿地面积萎缩，湿地涵养水源、净化水体等生态功能严重退化，生物多样性受损。</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3.</w:t>
      </w:r>
      <w:r>
        <w:rPr>
          <w:rFonts w:hint="eastAsia" w:ascii="方正仿宋_GBK" w:hAnsi="方正仿宋_GBK" w:eastAsia="方正仿宋_GBK" w:cs="方正仿宋_GBK"/>
          <w:b w:val="0"/>
          <w:bCs w:val="0"/>
          <w:color w:val="auto"/>
          <w:sz w:val="32"/>
          <w:szCs w:val="32"/>
        </w:rPr>
        <w:t>主攻方向</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以增强湿地生态系统质量和稳定性为主攻方向，全面加强湿地生态系统保护，通过恢复湿地植被、连通生态廊道等措施，改善濒危物种栖息地和生境条件，保护生物多样性。</w:t>
      </w:r>
      <w:bookmarkStart w:id="30" w:name="_Toc149727789"/>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 xml:space="preserve">第四节 </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黄河湿地重点生态区</w:t>
      </w:r>
      <w:bookmarkEnd w:id="30"/>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1.</w:t>
      </w:r>
      <w:r>
        <w:rPr>
          <w:rFonts w:hint="eastAsia" w:ascii="方正仿宋_GBK" w:hAnsi="方正仿宋_GBK" w:eastAsia="方正仿宋_GBK" w:cs="方正仿宋_GBK"/>
          <w:b w:val="0"/>
          <w:bCs w:val="0"/>
          <w:color w:val="auto"/>
          <w:sz w:val="32"/>
          <w:szCs w:val="32"/>
        </w:rPr>
        <w:t>区域现状</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黄河在内蒙古境内呈</w:t>
      </w:r>
      <w:r>
        <w:rPr>
          <w:rFonts w:hint="eastAsia" w:ascii="方正仿宋_GBK" w:hAnsi="方正仿宋_GBK" w:eastAsia="方正仿宋_GBK" w:cs="方正仿宋_GBK"/>
          <w:b w:val="0"/>
          <w:bCs w:val="0"/>
          <w:color w:val="auto"/>
          <w:sz w:val="32"/>
          <w:szCs w:val="32"/>
          <w:lang w:eastAsia="zh-CN"/>
        </w:rPr>
        <w:t>“几字弯”</w:t>
      </w:r>
      <w:r>
        <w:rPr>
          <w:rFonts w:hint="eastAsia" w:ascii="方正仿宋_GBK" w:hAnsi="方正仿宋_GBK" w:eastAsia="方正仿宋_GBK" w:cs="方正仿宋_GBK"/>
          <w:b w:val="0"/>
          <w:bCs w:val="0"/>
          <w:color w:val="auto"/>
          <w:sz w:val="32"/>
          <w:szCs w:val="32"/>
        </w:rPr>
        <w:t>流经而过，全长843.5公里。区域涵盖了呼和浩特市、包头市、巴彦淖尔市、鄂尔多斯市、乌海市的30个旗县</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区</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流域面积12.42万平方公里，其中</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湿地面积0.36万平方公里，占全区湿地总面积的7.51%。地貌涵盖山地、丘陵、平原、沙漠、沙地等多种类型；大陆性季风气候显著</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年降水量</w:t>
      </w:r>
      <w:r>
        <w:rPr>
          <w:rFonts w:hint="eastAsia" w:ascii="方正仿宋_GBK" w:hAnsi="方正仿宋_GBK" w:eastAsia="方正仿宋_GBK" w:cs="方正仿宋_GBK"/>
          <w:b w:val="0"/>
          <w:bCs w:val="0"/>
          <w:color w:val="auto"/>
          <w:sz w:val="32"/>
          <w:szCs w:val="32"/>
          <w:lang w:eastAsia="zh-CN"/>
        </w:rPr>
        <w:t>为</w:t>
      </w:r>
      <w:r>
        <w:rPr>
          <w:rFonts w:hint="eastAsia" w:ascii="方正仿宋_GBK" w:hAnsi="方正仿宋_GBK" w:eastAsia="方正仿宋_GBK" w:cs="方正仿宋_GBK"/>
          <w:b w:val="0"/>
          <w:bCs w:val="0"/>
          <w:color w:val="auto"/>
          <w:sz w:val="32"/>
          <w:szCs w:val="32"/>
        </w:rPr>
        <w:t>150</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400毫米，植被覆盖率低</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湿地类型多样，以滩涂湿地为主。</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2.</w:t>
      </w:r>
      <w:r>
        <w:rPr>
          <w:rFonts w:hint="eastAsia" w:ascii="方正仿宋_GBK" w:hAnsi="方正仿宋_GBK" w:eastAsia="方正仿宋_GBK" w:cs="方正仿宋_GBK"/>
          <w:b w:val="0"/>
          <w:bCs w:val="0"/>
          <w:color w:val="auto"/>
          <w:sz w:val="32"/>
          <w:szCs w:val="32"/>
        </w:rPr>
        <w:t>主要问题</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湿地生态功能退化，水源涵养功能降低，盐渍化趋势尚未得到根本好转</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滩涂湿地面积萎缩，迁徙水鸟重要栖息地退化，湿地植物群落结构单一，生物多样性受到威胁。同时,黄河流域水资源短缺</w:t>
      </w:r>
      <w:r>
        <w:rPr>
          <w:rFonts w:hint="eastAsia" w:ascii="方正仿宋_GBK" w:hAnsi="方正仿宋_GBK" w:eastAsia="方正仿宋_GBK" w:cs="方正仿宋_GBK"/>
          <w:b w:val="0"/>
          <w:bCs w:val="0"/>
          <w:color w:val="auto"/>
          <w:sz w:val="32"/>
          <w:szCs w:val="32"/>
          <w:lang w:val="en-US" w:eastAsia="zh-CN"/>
        </w:rPr>
        <w:t>，</w:t>
      </w:r>
      <w:r>
        <w:rPr>
          <w:rFonts w:hint="eastAsia" w:ascii="方正仿宋_GBK" w:hAnsi="方正仿宋_GBK" w:eastAsia="方正仿宋_GBK" w:cs="方正仿宋_GBK"/>
          <w:b w:val="0"/>
          <w:bCs w:val="0"/>
          <w:color w:val="auto"/>
          <w:sz w:val="32"/>
          <w:szCs w:val="32"/>
        </w:rPr>
        <w:t>水资源承载能力不足,地下水超采严重</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生态问题</w:t>
      </w:r>
      <w:r>
        <w:rPr>
          <w:rFonts w:hint="eastAsia" w:ascii="方正仿宋_GBK" w:hAnsi="方正仿宋_GBK" w:eastAsia="方正仿宋_GBK" w:cs="方正仿宋_GBK"/>
          <w:b w:val="0"/>
          <w:bCs w:val="0"/>
          <w:color w:val="auto"/>
          <w:sz w:val="32"/>
          <w:szCs w:val="32"/>
          <w:lang w:eastAsia="zh-CN"/>
        </w:rPr>
        <w:t>日益</w:t>
      </w:r>
      <w:r>
        <w:rPr>
          <w:rFonts w:hint="eastAsia" w:ascii="方正仿宋_GBK" w:hAnsi="方正仿宋_GBK" w:eastAsia="方正仿宋_GBK" w:cs="方正仿宋_GBK"/>
          <w:b w:val="0"/>
          <w:bCs w:val="0"/>
          <w:color w:val="auto"/>
          <w:sz w:val="32"/>
          <w:szCs w:val="32"/>
        </w:rPr>
        <w:t>突出。</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3.</w:t>
      </w:r>
      <w:r>
        <w:rPr>
          <w:rFonts w:hint="eastAsia" w:ascii="方正仿宋_GBK" w:hAnsi="方正仿宋_GBK" w:eastAsia="方正仿宋_GBK" w:cs="方正仿宋_GBK"/>
          <w:b w:val="0"/>
          <w:bCs w:val="0"/>
          <w:color w:val="auto"/>
          <w:sz w:val="32"/>
          <w:szCs w:val="32"/>
        </w:rPr>
        <w:t>主攻方向</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以增强黄河流域湿地生态系统稳定性为主攻方向，提升湿地涵养水源能力，维护野生动植物栖息地及生境，综合治理水土流失，加强水污染防治，强化滩涂退化湿地治理和保护恢复，完善自然保护地体系建设，维护生物多样性。</w:t>
      </w:r>
      <w:bookmarkStart w:id="31" w:name="_Toc149727790"/>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 xml:space="preserve">第五节 </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内流河湿地生态保护修复区</w:t>
      </w:r>
      <w:bookmarkEnd w:id="31"/>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1.</w:t>
      </w:r>
      <w:r>
        <w:rPr>
          <w:rFonts w:hint="eastAsia" w:ascii="方正仿宋_GBK" w:hAnsi="方正仿宋_GBK" w:eastAsia="方正仿宋_GBK" w:cs="方正仿宋_GBK"/>
          <w:b w:val="0"/>
          <w:bCs w:val="0"/>
          <w:color w:val="auto"/>
          <w:sz w:val="32"/>
          <w:szCs w:val="32"/>
        </w:rPr>
        <w:t>区域现状</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区域范围属于乌拉盖河水系、达里诺尔水系、白音库伦水系、查干诺尔水系、锡林河水系、黄旗海水系、岱海水系、居延海水系、艾不盖河水系及沙漠、沙地湖泊湿地水系，水系流域面积58.76万平方公里，其中</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湿地面积1.18万平方公里，占全区湿地总面积的24.42%，涵盖流域内的锡林郭勒盟、乌兰察布市、呼和浩特市、包头市、鄂尔多斯市、巴彦淖尔市、乌海市、阿拉善盟的31个旗县（</w:t>
      </w:r>
      <w:r>
        <w:rPr>
          <w:rFonts w:hint="eastAsia" w:ascii="方正仿宋_GBK" w:hAnsi="方正仿宋_GBK" w:eastAsia="方正仿宋_GBK" w:cs="方正仿宋_GBK"/>
          <w:b w:val="0"/>
          <w:bCs w:val="0"/>
          <w:color w:val="auto"/>
          <w:sz w:val="32"/>
          <w:szCs w:val="32"/>
          <w:lang w:eastAsia="zh-CN"/>
        </w:rPr>
        <w:t>市、</w:t>
      </w:r>
      <w:r>
        <w:rPr>
          <w:rFonts w:hint="eastAsia" w:ascii="方正仿宋_GBK" w:hAnsi="方正仿宋_GBK" w:eastAsia="方正仿宋_GBK" w:cs="方正仿宋_GBK"/>
          <w:b w:val="0"/>
          <w:bCs w:val="0"/>
          <w:color w:val="auto"/>
          <w:sz w:val="32"/>
          <w:szCs w:val="32"/>
        </w:rPr>
        <w:t>区），区域处蒙新区地带，地貌以中低山、丘陵和高平原为主，年降</w:t>
      </w:r>
      <w:r>
        <w:rPr>
          <w:rFonts w:hint="eastAsia" w:ascii="方正仿宋_GBK" w:hAnsi="方正仿宋_GBK" w:eastAsia="方正仿宋_GBK" w:cs="方正仿宋_GBK"/>
          <w:b w:val="0"/>
          <w:bCs w:val="0"/>
          <w:color w:val="auto"/>
          <w:sz w:val="32"/>
          <w:szCs w:val="32"/>
          <w:lang w:eastAsia="zh-CN"/>
        </w:rPr>
        <w:t>水</w:t>
      </w:r>
      <w:r>
        <w:rPr>
          <w:rFonts w:hint="eastAsia" w:ascii="方正仿宋_GBK" w:hAnsi="方正仿宋_GBK" w:eastAsia="方正仿宋_GBK" w:cs="方正仿宋_GBK"/>
          <w:b w:val="0"/>
          <w:bCs w:val="0"/>
          <w:color w:val="auto"/>
          <w:sz w:val="32"/>
          <w:szCs w:val="32"/>
        </w:rPr>
        <w:t>量</w:t>
      </w:r>
      <w:r>
        <w:rPr>
          <w:rFonts w:hint="eastAsia" w:ascii="方正仿宋_GBK" w:hAnsi="方正仿宋_GBK" w:eastAsia="方正仿宋_GBK" w:cs="方正仿宋_GBK"/>
          <w:b w:val="0"/>
          <w:bCs w:val="0"/>
          <w:color w:val="auto"/>
          <w:sz w:val="32"/>
          <w:szCs w:val="32"/>
          <w:lang w:eastAsia="zh-CN"/>
        </w:rPr>
        <w:t>为</w:t>
      </w:r>
      <w:r>
        <w:rPr>
          <w:rFonts w:hint="eastAsia" w:ascii="方正仿宋_GBK" w:hAnsi="方正仿宋_GBK" w:eastAsia="方正仿宋_GBK" w:cs="方正仿宋_GBK"/>
          <w:b w:val="0"/>
          <w:bCs w:val="0"/>
          <w:color w:val="auto"/>
          <w:sz w:val="32"/>
          <w:szCs w:val="32"/>
        </w:rPr>
        <w:t>50</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400毫米，湿地类型以滩涂湿地和湖泊湿地为主，是</w:t>
      </w:r>
      <w:r>
        <w:rPr>
          <w:rFonts w:hint="eastAsia" w:ascii="方正仿宋_GBK" w:hAnsi="方正仿宋_GBK" w:eastAsia="方正仿宋_GBK" w:cs="方正仿宋_GBK"/>
          <w:b w:val="0"/>
          <w:bCs w:val="0"/>
          <w:color w:val="auto"/>
          <w:sz w:val="32"/>
          <w:szCs w:val="32"/>
          <w:lang w:eastAsia="zh-CN"/>
        </w:rPr>
        <w:t>自治区</w:t>
      </w:r>
      <w:r>
        <w:rPr>
          <w:rFonts w:hint="eastAsia" w:ascii="方正仿宋_GBK" w:hAnsi="方正仿宋_GBK" w:eastAsia="方正仿宋_GBK" w:cs="方正仿宋_GBK"/>
          <w:b w:val="0"/>
          <w:bCs w:val="0"/>
          <w:color w:val="auto"/>
          <w:sz w:val="32"/>
          <w:szCs w:val="32"/>
        </w:rPr>
        <w:t>生物多样性丰富区域之一，蕴含大量珍稀濒危动物资源，也是维护我国西北、华北的重要生态安全屏障。</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2.</w:t>
      </w:r>
      <w:r>
        <w:rPr>
          <w:rFonts w:hint="eastAsia" w:ascii="方正仿宋_GBK" w:hAnsi="方正仿宋_GBK" w:eastAsia="方正仿宋_GBK" w:cs="方正仿宋_GBK"/>
          <w:b w:val="0"/>
          <w:bCs w:val="0"/>
          <w:color w:val="auto"/>
          <w:sz w:val="32"/>
          <w:szCs w:val="32"/>
        </w:rPr>
        <w:t>主要问题</w:t>
      </w:r>
      <w:r>
        <w:rPr>
          <w:rFonts w:hint="eastAsia" w:ascii="方正仿宋_GBK" w:hAnsi="方正仿宋_GBK" w:eastAsia="方正仿宋_GBK" w:cs="方正仿宋_GBK"/>
          <w:b w:val="0"/>
          <w:bCs w:val="0"/>
          <w:color w:val="auto"/>
          <w:sz w:val="32"/>
          <w:szCs w:val="32"/>
          <w:lang w:val="en-US" w:eastAsia="zh-CN"/>
        </w:rPr>
        <w:t>。</w:t>
      </w:r>
      <w:r>
        <w:rPr>
          <w:rFonts w:hint="eastAsia" w:ascii="方正仿宋_GBK" w:hAnsi="方正仿宋_GBK" w:eastAsia="方正仿宋_GBK" w:cs="方正仿宋_GBK"/>
          <w:b w:val="0"/>
          <w:bCs w:val="0"/>
          <w:color w:val="auto"/>
          <w:sz w:val="32"/>
          <w:szCs w:val="32"/>
        </w:rPr>
        <w:t>受自然因素、人为因素影响，水资源短缺，局部地下水超采严重</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局部河流断流、湖泊消失，湿地生物多样性遭到破坏</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局部生态功能退化趋势加剧，湿地综合生态功能降低。</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lang w:val="en-US" w:eastAsia="zh-CN"/>
        </w:rPr>
        <w:t>3.</w:t>
      </w:r>
      <w:r>
        <w:rPr>
          <w:rFonts w:hint="eastAsia" w:ascii="方正仿宋_GBK" w:hAnsi="方正仿宋_GBK" w:eastAsia="方正仿宋_GBK" w:cs="方正仿宋_GBK"/>
          <w:b w:val="0"/>
          <w:bCs w:val="0"/>
          <w:color w:val="auto"/>
          <w:sz w:val="32"/>
          <w:szCs w:val="32"/>
        </w:rPr>
        <w:t>主攻方向</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以推动湿地生态系统自然恢复与人工修复相结合为主攻方向，全面加强湿地生态系统保护，对退化湿地主要采取基于自然的解决方案，综合运用自然恢复和人工修复，在退化较严重的区域强化人工干预促进生态恢复，适当辅以生态补水，改善恢复河湖水系之间的连通性，促进物质流动，维护湿地健康，增强湿地生态功能稳定性，维护野生动植物栖息地及生境。</w:t>
      </w:r>
      <w:bookmarkStart w:id="32" w:name="_Toc149727791"/>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jc w:val="center"/>
        <w:textAlignment w:val="auto"/>
        <w:rPr>
          <w:rFonts w:hint="eastAsia" w:ascii="方正黑体_GBK" w:hAnsi="方正黑体_GBK" w:eastAsia="方正黑体_GBK" w:cs="方正黑体_GBK"/>
          <w:b w:val="0"/>
          <w:bCs w:val="0"/>
          <w:color w:val="auto"/>
          <w:sz w:val="32"/>
          <w:szCs w:val="32"/>
        </w:rPr>
      </w:pPr>
      <w:r>
        <w:rPr>
          <w:rFonts w:hint="eastAsia" w:ascii="方正黑体_GBK" w:hAnsi="方正黑体_GBK" w:eastAsia="方正黑体_GBK" w:cs="方正黑体_GBK"/>
          <w:b w:val="0"/>
          <w:bCs w:val="0"/>
          <w:color w:val="auto"/>
          <w:sz w:val="32"/>
          <w:szCs w:val="32"/>
        </w:rPr>
        <w:t>第四章  重点任务</w:t>
      </w:r>
      <w:bookmarkEnd w:id="32"/>
    </w:p>
    <w:p>
      <w:pPr>
        <w:keepNext w:val="0"/>
        <w:keepLines w:val="0"/>
        <w:pageBreakBefore w:val="0"/>
        <w:widowControl w:val="0"/>
        <w:kinsoku/>
        <w:wordWrap/>
        <w:overflowPunct/>
        <w:topLinePunct/>
        <w:autoSpaceDE/>
        <w:autoSpaceDN/>
        <w:bidi w:val="0"/>
        <w:adjustRightInd/>
        <w:spacing w:line="580" w:lineRule="exact"/>
        <w:ind w:firstLine="640"/>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2022</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2030年，</w:t>
      </w:r>
      <w:r>
        <w:rPr>
          <w:rFonts w:hint="eastAsia" w:ascii="方正仿宋_GBK" w:hAnsi="方正仿宋_GBK" w:eastAsia="方正仿宋_GBK" w:cs="方正仿宋_GBK"/>
          <w:b w:val="0"/>
          <w:bCs w:val="0"/>
          <w:color w:val="auto"/>
          <w:sz w:val="32"/>
          <w:szCs w:val="32"/>
          <w:lang w:eastAsia="zh-CN"/>
        </w:rPr>
        <w:t>内蒙古</w:t>
      </w:r>
      <w:r>
        <w:rPr>
          <w:rFonts w:hint="eastAsia" w:ascii="方正仿宋_GBK" w:hAnsi="方正仿宋_GBK" w:eastAsia="方正仿宋_GBK" w:cs="方正仿宋_GBK"/>
          <w:b w:val="0"/>
          <w:bCs w:val="0"/>
          <w:color w:val="auto"/>
          <w:sz w:val="32"/>
          <w:szCs w:val="32"/>
        </w:rPr>
        <w:t>湿地保护的根本任务是</w:t>
      </w:r>
      <w:r>
        <w:rPr>
          <w:rFonts w:hint="eastAsia" w:ascii="方正仿宋_GBK" w:hAnsi="方正仿宋_GBK" w:eastAsia="方正仿宋_GBK" w:cs="方正仿宋_GBK"/>
          <w:b w:val="0"/>
          <w:bCs w:val="0"/>
          <w:color w:val="auto"/>
          <w:sz w:val="32"/>
          <w:szCs w:val="32"/>
          <w:lang w:eastAsia="zh-CN"/>
        </w:rPr>
        <w:t>综合</w:t>
      </w:r>
      <w:r>
        <w:rPr>
          <w:rFonts w:hint="eastAsia" w:ascii="方正仿宋_GBK" w:hAnsi="方正仿宋_GBK" w:eastAsia="方正仿宋_GBK" w:cs="方正仿宋_GBK"/>
          <w:b w:val="0"/>
          <w:bCs w:val="0"/>
          <w:color w:val="auto"/>
          <w:sz w:val="32"/>
          <w:szCs w:val="32"/>
        </w:rPr>
        <w:t>考虑湿地分布的主要特点和湿地保护面临的主要问题，在规划方向和项目安排上，</w:t>
      </w:r>
      <w:r>
        <w:rPr>
          <w:rFonts w:hint="eastAsia" w:ascii="方正仿宋_GBK" w:hAnsi="方正仿宋_GBK" w:eastAsia="方正仿宋_GBK" w:cs="方正仿宋_GBK"/>
          <w:b w:val="0"/>
          <w:bCs w:val="0"/>
          <w:color w:val="auto"/>
          <w:sz w:val="32"/>
          <w:szCs w:val="32"/>
          <w:lang w:eastAsia="zh-CN"/>
        </w:rPr>
        <w:t>按照</w:t>
      </w:r>
      <w:r>
        <w:rPr>
          <w:rFonts w:hint="eastAsia" w:ascii="方正仿宋_GBK" w:hAnsi="方正仿宋_GBK" w:eastAsia="方正仿宋_GBK" w:cs="方正仿宋_GBK"/>
          <w:b w:val="0"/>
          <w:bCs w:val="0"/>
          <w:color w:val="auto"/>
          <w:sz w:val="32"/>
          <w:szCs w:val="32"/>
        </w:rPr>
        <w:t>全面保护、系统治理、突出重点、科技创新等原则，积极争取中央财政预算内的湿地保护修复重点工程，对一些重要湿地</w:t>
      </w:r>
      <w:r>
        <w:rPr>
          <w:rFonts w:hint="eastAsia" w:ascii="方正仿宋_GBK" w:hAnsi="方正仿宋_GBK" w:eastAsia="方正仿宋_GBK" w:cs="方正仿宋_GBK"/>
          <w:b w:val="0"/>
          <w:bCs w:val="0"/>
          <w:color w:val="auto"/>
          <w:sz w:val="32"/>
          <w:szCs w:val="32"/>
          <w:lang w:eastAsia="zh-CN"/>
        </w:rPr>
        <w:t>特别</w:t>
      </w:r>
      <w:r>
        <w:rPr>
          <w:rFonts w:hint="eastAsia" w:ascii="方正仿宋_GBK" w:hAnsi="方正仿宋_GBK" w:eastAsia="方正仿宋_GBK" w:cs="方正仿宋_GBK"/>
          <w:b w:val="0"/>
          <w:bCs w:val="0"/>
          <w:color w:val="auto"/>
          <w:sz w:val="32"/>
          <w:szCs w:val="32"/>
        </w:rPr>
        <w:t>是国家重要湿地（含国际重要湿地）及其湿地功能区域</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优先安排湿地保护与恢复、生态效益补偿项目，充分发挥中央资金的引导作用，把全面保护与恢复湿地的任务落到实处。</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bookmarkStart w:id="33" w:name="_Toc149727792"/>
      <w:r>
        <w:rPr>
          <w:rFonts w:hint="eastAsia" w:ascii="方正楷体_GBK" w:hAnsi="方正楷体_GBK" w:eastAsia="方正楷体_GBK" w:cs="方正楷体_GBK"/>
          <w:b w:val="0"/>
          <w:bCs w:val="0"/>
          <w:color w:val="auto"/>
          <w:sz w:val="32"/>
          <w:szCs w:val="32"/>
        </w:rPr>
        <w:t xml:space="preserve">第一节 </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实行湿地面积总量管控</w:t>
      </w:r>
      <w:bookmarkEnd w:id="33"/>
      <w:bookmarkStart w:id="34" w:name="_Toc149727793"/>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aps w:val="0"/>
          <w:smallCaps/>
          <w:color w:val="auto"/>
          <w:spacing w:val="-6"/>
          <w:sz w:val="32"/>
          <w:szCs w:val="32"/>
        </w:rPr>
      </w:pPr>
      <w:r>
        <w:rPr>
          <w:rFonts w:hint="eastAsia" w:ascii="方正仿宋_GBK" w:hAnsi="方正仿宋_GBK" w:eastAsia="方正仿宋_GBK" w:cs="方正仿宋_GBK"/>
          <w:b w:val="0"/>
          <w:bCs w:val="0"/>
          <w:color w:val="auto"/>
          <w:sz w:val="32"/>
          <w:szCs w:val="32"/>
        </w:rPr>
        <w:t>积极推动《内蒙古自治区湿地保护条例》修订工作列入人大立法计划，依法对湿地保护、利用进行监督管理。</w:t>
      </w:r>
      <w:r>
        <w:rPr>
          <w:rFonts w:hint="eastAsia" w:ascii="方正仿宋_GBK" w:hAnsi="方正仿宋_GBK" w:eastAsia="方正仿宋_GBK" w:cs="方正仿宋_GBK"/>
          <w:b w:val="0"/>
          <w:bCs w:val="0"/>
          <w:color w:val="auto"/>
          <w:sz w:val="32"/>
          <w:szCs w:val="32"/>
          <w:lang w:eastAsia="zh-CN"/>
        </w:rPr>
        <w:t>旗</w:t>
      </w:r>
      <w:r>
        <w:rPr>
          <w:rFonts w:hint="eastAsia" w:ascii="方正仿宋_GBK" w:hAnsi="方正仿宋_GBK" w:eastAsia="方正仿宋_GBK" w:cs="方正仿宋_GBK"/>
          <w:b w:val="0"/>
          <w:bCs w:val="0"/>
          <w:color w:val="auto"/>
          <w:sz w:val="32"/>
          <w:szCs w:val="32"/>
        </w:rPr>
        <w:t>县级以上地方人民政府对本行政区域内的湿地保护负</w:t>
      </w:r>
      <w:r>
        <w:rPr>
          <w:rFonts w:hint="eastAsia" w:ascii="方正仿宋_GBK" w:hAnsi="方正仿宋_GBK" w:eastAsia="方正仿宋_GBK" w:cs="方正仿宋_GBK"/>
          <w:b w:val="0"/>
          <w:bCs w:val="0"/>
          <w:color w:val="auto"/>
          <w:sz w:val="32"/>
          <w:szCs w:val="32"/>
          <w:lang w:eastAsia="zh-CN"/>
        </w:rPr>
        <w:t>总</w:t>
      </w:r>
      <w:r>
        <w:rPr>
          <w:rFonts w:hint="eastAsia" w:ascii="方正仿宋_GBK" w:hAnsi="方正仿宋_GBK" w:eastAsia="方正仿宋_GBK" w:cs="方正仿宋_GBK"/>
          <w:b w:val="0"/>
          <w:bCs w:val="0"/>
          <w:color w:val="auto"/>
          <w:sz w:val="32"/>
          <w:szCs w:val="32"/>
        </w:rPr>
        <w:t>责</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实行湿地面积总量管控制度，按照国家制定的湿地面积管控目标，严格湿地用途监管，并将湿地面积总量管控目标逐级分解，确定盟市湿地面积总量，纳入本地区生态文明建设目标评价考核等制度体系和盟市湿地保护规划。经批准征收、占用湿地并转为其他用途的，用地单位要按照“占补平衡”原则，负责恢复或重建与所占湿地数量和质量相当的湿地，确保湿地面积不减少。鉴于泥炭湿地的特殊性，占用后短期内无法恢复或重建，除国家和自治区重大工程外，严禁占用泥炭湿地。推动各盟市将湿地保护资金纳入年度财政预算，采取严格监管、系统治理等措施保持湿地面积稳定。完善工程建设项目对湿地生态影响的评价制度，加强对重大工程建设的管理，减轻工程建设项目对湿地生态的负面影响。进一步加强对</w:t>
      </w:r>
      <w:r>
        <w:rPr>
          <w:rFonts w:hint="eastAsia" w:ascii="方正仿宋_GBK" w:hAnsi="方正仿宋_GBK" w:eastAsia="方正仿宋_GBK" w:cs="方正仿宋_GBK"/>
          <w:b w:val="0"/>
          <w:bCs w:val="0"/>
          <w:caps w:val="0"/>
          <w:smallCaps/>
          <w:color w:val="auto"/>
          <w:spacing w:val="-6"/>
          <w:sz w:val="32"/>
          <w:szCs w:val="32"/>
        </w:rPr>
        <w:t>湿地利用的监督管理，对湿地破坏严重的地区或有关部门</w:t>
      </w:r>
      <w:r>
        <w:rPr>
          <w:rFonts w:hint="eastAsia" w:ascii="方正仿宋_GBK" w:hAnsi="方正仿宋_GBK" w:eastAsia="方正仿宋_GBK" w:cs="方正仿宋_GBK"/>
          <w:b w:val="0"/>
          <w:bCs w:val="0"/>
          <w:caps w:val="0"/>
          <w:smallCaps/>
          <w:color w:val="auto"/>
          <w:spacing w:val="-6"/>
          <w:sz w:val="32"/>
          <w:szCs w:val="32"/>
          <w:lang w:eastAsia="zh-CN"/>
        </w:rPr>
        <w:t>依法依规</w:t>
      </w:r>
      <w:r>
        <w:rPr>
          <w:rFonts w:hint="eastAsia" w:ascii="方正仿宋_GBK" w:hAnsi="方正仿宋_GBK" w:eastAsia="方正仿宋_GBK" w:cs="方正仿宋_GBK"/>
          <w:b w:val="0"/>
          <w:bCs w:val="0"/>
          <w:caps w:val="0"/>
          <w:smallCaps/>
          <w:color w:val="auto"/>
          <w:spacing w:val="-6"/>
          <w:sz w:val="32"/>
          <w:szCs w:val="32"/>
        </w:rPr>
        <w:t>进行约谈。建立湿地利用预警机制，遏制各种破坏湿地生态的行为。</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 xml:space="preserve">第二节 </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落实湿地分级管理体系</w:t>
      </w:r>
      <w:bookmarkEnd w:id="34"/>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lang w:eastAsia="zh-CN"/>
        </w:rPr>
      </w:pPr>
      <w:r>
        <w:rPr>
          <w:rFonts w:hint="eastAsia" w:ascii="方正仿宋_GBK" w:hAnsi="方正仿宋_GBK" w:eastAsia="方正仿宋_GBK" w:cs="方正仿宋_GBK"/>
          <w:b w:val="0"/>
          <w:bCs w:val="0"/>
          <w:color w:val="auto"/>
          <w:sz w:val="32"/>
          <w:szCs w:val="32"/>
        </w:rPr>
        <w:t>分批发布自治区重要湿地名录及范围</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指导盟市制定盟市重要湿地、一般湿地相关</w:t>
      </w:r>
      <w:r>
        <w:rPr>
          <w:rFonts w:hint="eastAsia" w:ascii="方正仿宋_GBK" w:hAnsi="方正仿宋_GBK" w:eastAsia="方正仿宋_GBK" w:cs="方正仿宋_GBK"/>
          <w:b w:val="0"/>
          <w:bCs w:val="0"/>
          <w:color w:val="auto"/>
          <w:sz w:val="32"/>
          <w:szCs w:val="32"/>
          <w:lang w:eastAsia="zh-CN"/>
        </w:rPr>
        <w:t>管理</w:t>
      </w:r>
      <w:r>
        <w:rPr>
          <w:rFonts w:hint="eastAsia" w:ascii="方正仿宋_GBK" w:hAnsi="方正仿宋_GBK" w:eastAsia="方正仿宋_GBK" w:cs="方正仿宋_GBK"/>
          <w:b w:val="0"/>
          <w:bCs w:val="0"/>
          <w:color w:val="auto"/>
          <w:sz w:val="32"/>
          <w:szCs w:val="32"/>
        </w:rPr>
        <w:t>制度和办法，分批发布盟市重要湿地或小微湿地（含保护小区）名录及范围。</w:t>
      </w:r>
      <w:r>
        <w:rPr>
          <w:rFonts w:hint="eastAsia" w:ascii="方正仿宋_GBK" w:hAnsi="方正仿宋_GBK" w:eastAsia="方正仿宋_GBK" w:cs="方正仿宋_GBK"/>
          <w:b w:val="0"/>
          <w:bCs w:val="0"/>
          <w:color w:val="auto"/>
          <w:sz w:val="32"/>
          <w:szCs w:val="32"/>
          <w:lang w:val="en-US" w:eastAsia="zh-CN"/>
        </w:rPr>
        <w:t>2023年计划新增4处自治区重要湿地，分别为乌力吉沐沦河、静湖、骏马湖、哈素海湿地，已纳入自治区重要湿地候选名单。</w:t>
      </w:r>
      <w:r>
        <w:rPr>
          <w:rFonts w:hint="eastAsia" w:ascii="方正仿宋_GBK" w:hAnsi="方正仿宋_GBK" w:eastAsia="方正仿宋_GBK" w:cs="方正仿宋_GBK"/>
          <w:b w:val="0"/>
          <w:bCs w:val="0"/>
          <w:color w:val="auto"/>
          <w:sz w:val="32"/>
          <w:szCs w:val="32"/>
        </w:rPr>
        <w:t>进一步推进各级湿地公园建设，总体规划到期的国家湿地公园重新编制规划，积极推动7处国家湿地公园（试点）建设验收工作；推动自治区湿地公园晋升国家湿地公园2处；拟新建自治区湿地公园2处、湿地类型自治区级自然保护区1处。进一步加强湿地保护强度，提高湿地保护意识。</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详见表4-1、表4-2、表4-3、表4-4</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表4-5</w:t>
      </w:r>
      <w:bookmarkStart w:id="35" w:name="_Toc149727794"/>
      <w:r>
        <w:rPr>
          <w:rFonts w:hint="eastAsia" w:ascii="方正仿宋_GBK" w:hAnsi="方正仿宋_GBK" w:eastAsia="方正仿宋_GBK" w:cs="方正仿宋_GBK"/>
          <w:b w:val="0"/>
          <w:bCs w:val="0"/>
          <w:color w:val="auto"/>
          <w:sz w:val="32"/>
          <w:szCs w:val="32"/>
          <w:lang w:eastAsia="zh-CN"/>
        </w:rPr>
        <w:t>）</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第三节</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 xml:space="preserve"> 完善湿地保护管理体系</w:t>
      </w:r>
      <w:bookmarkEnd w:id="35"/>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进一步理顺湿地保护管理体制，健全完善湿地保护体系，加大监管力度，加强各级湿地保护管理机构的能力建设。盟市</w:t>
      </w:r>
      <w:r>
        <w:rPr>
          <w:rFonts w:hint="eastAsia" w:ascii="方正仿宋_GBK" w:hAnsi="方正仿宋_GBK" w:eastAsia="方正仿宋_GBK" w:cs="方正仿宋_GBK"/>
          <w:b w:val="0"/>
          <w:bCs w:val="0"/>
          <w:color w:val="auto"/>
          <w:sz w:val="32"/>
          <w:szCs w:val="32"/>
          <w:lang w:eastAsia="zh-CN"/>
        </w:rPr>
        <w:t>、旗县（市、区）</w:t>
      </w:r>
      <w:r>
        <w:rPr>
          <w:rFonts w:hint="eastAsia" w:ascii="方正仿宋_GBK" w:hAnsi="方正仿宋_GBK" w:eastAsia="方正仿宋_GBK" w:cs="方正仿宋_GBK"/>
          <w:b w:val="0"/>
          <w:bCs w:val="0"/>
          <w:color w:val="auto"/>
          <w:sz w:val="32"/>
          <w:szCs w:val="32"/>
        </w:rPr>
        <w:t>湿地主管部门具体负责指导本</w:t>
      </w:r>
      <w:r>
        <w:rPr>
          <w:rFonts w:hint="eastAsia" w:ascii="方正仿宋_GBK" w:hAnsi="方正仿宋_GBK" w:eastAsia="方正仿宋_GBK" w:cs="方正仿宋_GBK"/>
          <w:b w:val="0"/>
          <w:bCs w:val="0"/>
          <w:color w:val="auto"/>
          <w:sz w:val="32"/>
          <w:szCs w:val="32"/>
          <w:lang w:eastAsia="zh-CN"/>
        </w:rPr>
        <w:t>行政区域</w:t>
      </w:r>
      <w:r>
        <w:rPr>
          <w:rFonts w:hint="eastAsia" w:ascii="方正仿宋_GBK" w:hAnsi="方正仿宋_GBK" w:eastAsia="方正仿宋_GBK" w:cs="方正仿宋_GBK"/>
          <w:b w:val="0"/>
          <w:bCs w:val="0"/>
          <w:color w:val="auto"/>
          <w:sz w:val="32"/>
          <w:szCs w:val="32"/>
        </w:rPr>
        <w:t>区内湿地保护管理相关工作</w:t>
      </w:r>
      <w:r>
        <w:rPr>
          <w:rFonts w:hint="eastAsia" w:ascii="方正仿宋_GBK" w:hAnsi="方正仿宋_GBK" w:eastAsia="方正仿宋_GBK" w:cs="方正仿宋_GBK"/>
          <w:b w:val="0"/>
          <w:bCs w:val="0"/>
          <w:color w:val="auto"/>
          <w:sz w:val="32"/>
          <w:szCs w:val="32"/>
          <w:lang w:eastAsia="zh-CN"/>
        </w:rPr>
        <w:t>，各相关部门</w:t>
      </w:r>
      <w:r>
        <w:rPr>
          <w:rFonts w:hint="eastAsia" w:ascii="方正仿宋_GBK" w:hAnsi="方正仿宋_GBK" w:eastAsia="方正仿宋_GBK" w:cs="方正仿宋_GBK"/>
          <w:b w:val="0"/>
          <w:bCs w:val="0"/>
          <w:color w:val="auto"/>
          <w:sz w:val="32"/>
          <w:szCs w:val="32"/>
        </w:rPr>
        <w:t>认真履行</w:t>
      </w:r>
      <w:r>
        <w:rPr>
          <w:rFonts w:hint="eastAsia" w:ascii="方正仿宋_GBK" w:hAnsi="方正仿宋_GBK" w:eastAsia="方正仿宋_GBK" w:cs="方正仿宋_GBK"/>
          <w:b w:val="0"/>
          <w:bCs w:val="0"/>
          <w:color w:val="auto"/>
          <w:sz w:val="32"/>
          <w:szCs w:val="32"/>
          <w:lang w:eastAsia="zh-CN"/>
        </w:rPr>
        <w:t>各自</w:t>
      </w:r>
      <w:r>
        <w:rPr>
          <w:rFonts w:hint="eastAsia" w:ascii="方正仿宋_GBK" w:hAnsi="方正仿宋_GBK" w:eastAsia="方正仿宋_GBK" w:cs="方正仿宋_GBK"/>
          <w:b w:val="0"/>
          <w:bCs w:val="0"/>
          <w:color w:val="auto"/>
          <w:sz w:val="32"/>
          <w:szCs w:val="32"/>
        </w:rPr>
        <w:t>职责，形成工作合力，切实加强湿地保护管理工作。</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完善湿地保护管理的组织机构，明确湿地保护管理部门</w:t>
      </w:r>
      <w:r>
        <w:rPr>
          <w:rFonts w:hint="eastAsia" w:ascii="方正仿宋_GBK" w:hAnsi="方正仿宋_GBK" w:eastAsia="方正仿宋_GBK" w:cs="方正仿宋_GBK"/>
          <w:b w:val="0"/>
          <w:bCs w:val="0"/>
          <w:color w:val="auto"/>
          <w:sz w:val="32"/>
          <w:szCs w:val="32"/>
          <w:lang w:eastAsia="zh-CN"/>
        </w:rPr>
        <w:t>及</w:t>
      </w:r>
      <w:r>
        <w:rPr>
          <w:rFonts w:hint="eastAsia" w:ascii="方正仿宋_GBK" w:hAnsi="方正仿宋_GBK" w:eastAsia="方正仿宋_GBK" w:cs="方正仿宋_GBK"/>
          <w:b w:val="0"/>
          <w:bCs w:val="0"/>
          <w:color w:val="auto"/>
          <w:sz w:val="32"/>
          <w:szCs w:val="32"/>
        </w:rPr>
        <w:t>其职责和权力</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同时</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建立湿地保护管理的协调机制，强</w:t>
      </w:r>
      <w:r>
        <w:rPr>
          <w:rFonts w:hint="eastAsia" w:ascii="方正仿宋_GBK" w:hAnsi="方正仿宋_GBK" w:eastAsia="方正仿宋_GBK" w:cs="方正仿宋_GBK"/>
          <w:b w:val="0"/>
          <w:bCs w:val="0"/>
          <w:color w:val="auto"/>
          <w:sz w:val="32"/>
          <w:szCs w:val="32"/>
          <w:lang w:eastAsia="zh-CN"/>
        </w:rPr>
        <w:t>化</w:t>
      </w:r>
      <w:r>
        <w:rPr>
          <w:rFonts w:hint="eastAsia" w:ascii="方正仿宋_GBK" w:hAnsi="方正仿宋_GBK" w:eastAsia="方正仿宋_GBK" w:cs="方正仿宋_GBK"/>
          <w:b w:val="0"/>
          <w:bCs w:val="0"/>
          <w:color w:val="auto"/>
          <w:sz w:val="32"/>
          <w:szCs w:val="32"/>
        </w:rPr>
        <w:t>各相关部门之间的协调与合作。</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color w:val="auto"/>
          <w:sz w:val="32"/>
          <w:szCs w:val="32"/>
        </w:rPr>
      </w:pPr>
      <w:r>
        <w:rPr>
          <w:rFonts w:hint="eastAsia" w:ascii="方正仿宋_GBK" w:hAnsi="方正仿宋_GBK" w:eastAsia="方正仿宋_GBK" w:cs="方正仿宋_GBK"/>
          <w:b w:val="0"/>
          <w:bCs w:val="0"/>
          <w:color w:val="auto"/>
          <w:sz w:val="32"/>
          <w:szCs w:val="32"/>
        </w:rPr>
        <w:t>配备专业的湿地保护管理人员，包括聘用湿地保护方面的专家、科研人员、监测人员等，确保湿地保护管理工作的专业性和科学性。同时，加强对湿地保护管理人员的培训和能力建设，提高专业水平。</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加强湿地保护管理的能力建设，包括湿地保护的技术研究、监测与评估、规划与管理等方面。通过技术研究，提高湿地保护管理的科学性和效率；通过监测与评估，了解湿地生态状况，及时发现问题并采取相应措施；通过规划与管理，制定科学的湿地保护管理方案，确保湿地保护工作的有序进行。</w:t>
      </w:r>
    </w:p>
    <w:p>
      <w:pPr>
        <w:pStyle w:val="24"/>
        <w:keepNext w:val="0"/>
        <w:keepLines w:val="0"/>
        <w:pageBreakBefore w:val="0"/>
        <w:widowControl w:val="0"/>
        <w:kinsoku/>
        <w:wordWrap/>
        <w:overflowPunct/>
        <w:topLinePunct/>
        <w:autoSpaceDE/>
        <w:autoSpaceDN/>
        <w:bidi w:val="0"/>
        <w:adjustRightInd/>
        <w:spacing w:line="580" w:lineRule="exact"/>
        <w:ind w:firstLine="678"/>
        <w:jc w:val="both"/>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制定完善各级湿地公园相关规定、办法等，按照</w:t>
      </w:r>
      <w:r>
        <w:rPr>
          <w:rFonts w:hint="eastAsia" w:ascii="方正仿宋_GBK" w:hAnsi="方正仿宋_GBK" w:eastAsia="方正仿宋_GBK" w:cs="方正仿宋_GBK"/>
          <w:b w:val="0"/>
          <w:bCs w:val="0"/>
          <w:color w:val="auto"/>
          <w:sz w:val="32"/>
          <w:szCs w:val="32"/>
          <w:lang w:eastAsia="zh-CN"/>
        </w:rPr>
        <w:t>有关法律、</w:t>
      </w:r>
      <w:r>
        <w:rPr>
          <w:rFonts w:hint="eastAsia" w:ascii="方正仿宋_GBK" w:hAnsi="方正仿宋_GBK" w:eastAsia="方正仿宋_GBK" w:cs="方正仿宋_GBK"/>
          <w:b w:val="0"/>
          <w:bCs w:val="0"/>
          <w:color w:val="auto"/>
          <w:sz w:val="32"/>
          <w:szCs w:val="32"/>
        </w:rPr>
        <w:t>法规和</w:t>
      </w:r>
      <w:r>
        <w:rPr>
          <w:rFonts w:hint="eastAsia" w:ascii="方正仿宋_GBK" w:hAnsi="方正仿宋_GBK" w:eastAsia="方正仿宋_GBK" w:cs="方正仿宋_GBK"/>
          <w:b w:val="0"/>
          <w:bCs w:val="0"/>
          <w:color w:val="auto"/>
          <w:sz w:val="32"/>
          <w:szCs w:val="32"/>
          <w:lang w:eastAsia="zh-CN"/>
        </w:rPr>
        <w:t>相关</w:t>
      </w:r>
      <w:r>
        <w:rPr>
          <w:rFonts w:hint="eastAsia" w:ascii="方正仿宋_GBK" w:hAnsi="方正仿宋_GBK" w:eastAsia="方正仿宋_GBK" w:cs="方正仿宋_GBK"/>
          <w:b w:val="0"/>
          <w:bCs w:val="0"/>
          <w:color w:val="auto"/>
          <w:sz w:val="32"/>
          <w:szCs w:val="32"/>
        </w:rPr>
        <w:t>规定确定湿地保护的目标、原则、管理措施、责任分工和操作规范等内容，为湿地保护管理提供明确的依据。</w:t>
      </w:r>
    </w:p>
    <w:p>
      <w:pPr>
        <w:rPr>
          <w:rFonts w:hint="eastAsia"/>
        </w:rPr>
      </w:pPr>
    </w:p>
    <w:p>
      <w:pPr>
        <w:pStyle w:val="24"/>
        <w:keepNext w:val="0"/>
        <w:keepLines w:val="0"/>
        <w:pageBreakBefore w:val="0"/>
        <w:widowControl w:val="0"/>
        <w:kinsoku/>
        <w:wordWrap/>
        <w:overflowPunct/>
        <w:topLinePunct/>
        <w:autoSpaceDE/>
        <w:autoSpaceDN/>
        <w:bidi w:val="0"/>
        <w:adjustRightInd/>
        <w:snapToGrid w:val="0"/>
        <w:spacing w:line="400" w:lineRule="exact"/>
        <w:ind w:left="0" w:firstLine="0" w:firstLineChars="0"/>
        <w:jc w:val="center"/>
        <w:textAlignment w:val="auto"/>
        <w:rPr>
          <w:rFonts w:hint="eastAsia" w:ascii="方正黑体_GBK" w:hAnsi="方正黑体_GBK" w:eastAsia="方正黑体_GBK" w:cs="方正黑体_GBK"/>
          <w:b w:val="0"/>
          <w:bCs w:val="0"/>
          <w:color w:val="auto"/>
          <w:kern w:val="0"/>
          <w:sz w:val="32"/>
          <w:szCs w:val="32"/>
          <w:lang w:bidi="ar"/>
        </w:rPr>
      </w:pPr>
      <w:r>
        <w:rPr>
          <w:rFonts w:hint="eastAsia" w:ascii="方正黑体_GBK" w:hAnsi="方正黑体_GBK" w:eastAsia="方正黑体_GBK" w:cs="方正黑体_GBK"/>
          <w:b w:val="0"/>
          <w:bCs w:val="0"/>
          <w:color w:val="auto"/>
          <w:sz w:val="32"/>
          <w:szCs w:val="32"/>
        </w:rPr>
        <w:t xml:space="preserve">表4-1 </w:t>
      </w:r>
      <w:r>
        <w:rPr>
          <w:rFonts w:hint="eastAsia" w:ascii="方正黑体_GBK" w:hAnsi="方正黑体_GBK" w:eastAsia="方正黑体_GBK" w:cs="方正黑体_GBK"/>
          <w:b w:val="0"/>
          <w:bCs w:val="0"/>
          <w:color w:val="auto"/>
          <w:sz w:val="32"/>
          <w:szCs w:val="32"/>
          <w:lang w:val="en-US" w:eastAsia="zh-CN"/>
        </w:rPr>
        <w:t xml:space="preserve"> </w:t>
      </w:r>
      <w:r>
        <w:rPr>
          <w:rFonts w:hint="eastAsia" w:ascii="方正黑体_GBK" w:hAnsi="方正黑体_GBK" w:eastAsia="方正黑体_GBK" w:cs="方正黑体_GBK"/>
          <w:b w:val="0"/>
          <w:bCs w:val="0"/>
          <w:color w:val="auto"/>
          <w:sz w:val="32"/>
          <w:szCs w:val="32"/>
        </w:rPr>
        <w:t>国际</w:t>
      </w:r>
      <w:r>
        <w:rPr>
          <w:rFonts w:hint="eastAsia" w:ascii="方正黑体_GBK" w:hAnsi="方正黑体_GBK" w:eastAsia="方正黑体_GBK" w:cs="方正黑体_GBK"/>
          <w:b w:val="0"/>
          <w:bCs w:val="0"/>
          <w:color w:val="auto"/>
          <w:kern w:val="0"/>
          <w:sz w:val="32"/>
          <w:szCs w:val="32"/>
          <w:lang w:bidi="ar"/>
        </w:rPr>
        <w:t>重要湿地分区布局名录</w:t>
      </w:r>
    </w:p>
    <w:p>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rPr>
      </w:pPr>
    </w:p>
    <w:tbl>
      <w:tblPr>
        <w:tblStyle w:val="28"/>
        <w:tblpPr w:leftFromText="180" w:rightFromText="180" w:vertAnchor="text" w:horzAnchor="page" w:tblpX="1524" w:tblpY="211"/>
        <w:tblOverlap w:val="never"/>
        <w:tblW w:w="8779" w:type="dxa"/>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3359"/>
        <w:gridCol w:w="2942"/>
        <w:gridCol w:w="2478"/>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583" w:hRule="exact"/>
          <w:tblHeader/>
        </w:trPr>
        <w:tc>
          <w:tcPr>
            <w:tcW w:w="3359" w:type="dxa"/>
            <w:tcBorders>
              <w:tl2br w:val="nil"/>
              <w:tr2bl w:val="nil"/>
            </w:tcBorders>
            <w:noWrap/>
            <w:tcMar>
              <w:left w:w="113" w:type="dxa"/>
              <w:right w:w="113" w:type="dxa"/>
            </w:tcMar>
            <w:vAlign w:val="center"/>
          </w:tcPr>
          <w:p>
            <w:pPr>
              <w:pStyle w:val="24"/>
              <w:keepNext w:val="0"/>
              <w:keepLines w:val="0"/>
              <w:pageBreakBefore w:val="0"/>
              <w:widowControl w:val="0"/>
              <w:kinsoku/>
              <w:wordWrap/>
              <w:overflowPunct/>
              <w:topLinePunct/>
              <w:autoSpaceDE/>
              <w:autoSpaceDN/>
              <w:bidi w:val="0"/>
              <w:adjustRightInd/>
              <w:spacing w:line="400" w:lineRule="exact"/>
              <w:ind w:left="0" w:leftChars="0" w:firstLine="0" w:firstLineChars="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空</w:t>
            </w:r>
            <w:r>
              <w:rPr>
                <w:rFonts w:hint="eastAsia" w:ascii="黑体" w:hAnsi="黑体" w:eastAsia="黑体" w:cs="黑体"/>
                <w:b w:val="0"/>
                <w:bCs w:val="0"/>
                <w:color w:val="auto"/>
                <w:kern w:val="0"/>
                <w:sz w:val="21"/>
                <w:szCs w:val="21"/>
                <w:lang w:val="en-US" w:eastAsia="zh-CN"/>
              </w:rPr>
              <w:t xml:space="preserve">  </w:t>
            </w:r>
            <w:r>
              <w:rPr>
                <w:rFonts w:hint="eastAsia" w:ascii="黑体" w:hAnsi="黑体" w:eastAsia="黑体" w:cs="黑体"/>
                <w:b w:val="0"/>
                <w:bCs w:val="0"/>
                <w:color w:val="auto"/>
                <w:kern w:val="0"/>
                <w:sz w:val="21"/>
                <w:szCs w:val="21"/>
              </w:rPr>
              <w:t>间</w:t>
            </w:r>
            <w:r>
              <w:rPr>
                <w:rFonts w:hint="eastAsia" w:ascii="黑体" w:hAnsi="黑体" w:eastAsia="黑体" w:cs="黑体"/>
                <w:b w:val="0"/>
                <w:bCs w:val="0"/>
                <w:color w:val="auto"/>
                <w:kern w:val="0"/>
                <w:sz w:val="21"/>
                <w:szCs w:val="21"/>
                <w:lang w:val="en-US" w:eastAsia="zh-CN"/>
              </w:rPr>
              <w:t xml:space="preserve">  </w:t>
            </w:r>
            <w:r>
              <w:rPr>
                <w:rFonts w:hint="eastAsia" w:ascii="黑体" w:hAnsi="黑体" w:eastAsia="黑体" w:cs="黑体"/>
                <w:b w:val="0"/>
                <w:bCs w:val="0"/>
                <w:color w:val="auto"/>
                <w:kern w:val="0"/>
                <w:sz w:val="21"/>
                <w:szCs w:val="21"/>
              </w:rPr>
              <w:t>布</w:t>
            </w:r>
            <w:r>
              <w:rPr>
                <w:rFonts w:hint="eastAsia" w:ascii="黑体" w:hAnsi="黑体" w:eastAsia="黑体" w:cs="黑体"/>
                <w:b w:val="0"/>
                <w:bCs w:val="0"/>
                <w:color w:val="auto"/>
                <w:kern w:val="0"/>
                <w:sz w:val="21"/>
                <w:szCs w:val="21"/>
                <w:lang w:val="en-US" w:eastAsia="zh-CN"/>
              </w:rPr>
              <w:t xml:space="preserve">  </w:t>
            </w:r>
            <w:r>
              <w:rPr>
                <w:rFonts w:hint="eastAsia" w:ascii="黑体" w:hAnsi="黑体" w:eastAsia="黑体" w:cs="黑体"/>
                <w:b w:val="0"/>
                <w:bCs w:val="0"/>
                <w:color w:val="auto"/>
                <w:kern w:val="0"/>
                <w:sz w:val="21"/>
                <w:szCs w:val="21"/>
              </w:rPr>
              <w:t>局</w:t>
            </w:r>
          </w:p>
        </w:tc>
        <w:tc>
          <w:tcPr>
            <w:tcW w:w="2942"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pacing w:line="400" w:lineRule="exact"/>
              <w:ind w:firstLine="210" w:firstLineChars="10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现有国际重要湿地（4）</w:t>
            </w:r>
          </w:p>
        </w:tc>
        <w:tc>
          <w:tcPr>
            <w:tcW w:w="2478"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pacing w:line="400" w:lineRule="exact"/>
              <w:ind w:firstLine="0" w:firstLineChars="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国际重要湿地候选区（3）</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1163" w:hRule="exact"/>
        </w:trPr>
        <w:tc>
          <w:tcPr>
            <w:tcW w:w="3359"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嫩江与额尔古纳河湿地生态保护恢复区</w:t>
            </w:r>
          </w:p>
        </w:tc>
        <w:tc>
          <w:tcPr>
            <w:tcW w:w="2942"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内蒙古达赉湖国家级自然保护区、内蒙古大兴安岭汗马湿地、毕拉河湿地</w:t>
            </w:r>
          </w:p>
        </w:tc>
        <w:tc>
          <w:tcPr>
            <w:tcW w:w="2478"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辉河、科尔沁</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98" w:hRule="exact"/>
        </w:trPr>
        <w:tc>
          <w:tcPr>
            <w:tcW w:w="3359"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西辽河湿地生态保护修复区</w:t>
            </w:r>
          </w:p>
        </w:tc>
        <w:tc>
          <w:tcPr>
            <w:tcW w:w="2942"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2478"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10" w:hRule="exact"/>
        </w:trPr>
        <w:tc>
          <w:tcPr>
            <w:tcW w:w="3359"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滦河与永定河湿地生态保护区</w:t>
            </w:r>
          </w:p>
        </w:tc>
        <w:tc>
          <w:tcPr>
            <w:tcW w:w="2942"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2478"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871" w:hRule="exact"/>
        </w:trPr>
        <w:tc>
          <w:tcPr>
            <w:tcW w:w="3359"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黄河湿地重点生态区</w:t>
            </w:r>
          </w:p>
        </w:tc>
        <w:tc>
          <w:tcPr>
            <w:tcW w:w="2942"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鄂尔多斯遗鸥国家级自然保护区</w:t>
            </w:r>
          </w:p>
        </w:tc>
        <w:tc>
          <w:tcPr>
            <w:tcW w:w="2478"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771" w:hRule="exact"/>
        </w:trPr>
        <w:tc>
          <w:tcPr>
            <w:tcW w:w="3359"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内流河湿地生态保护修复区</w:t>
            </w:r>
          </w:p>
        </w:tc>
        <w:tc>
          <w:tcPr>
            <w:tcW w:w="2942"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2478"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达里诺尔</w:t>
            </w:r>
          </w:p>
        </w:tc>
      </w:tr>
    </w:tbl>
    <w:p>
      <w:pPr>
        <w:keepNext w:val="0"/>
        <w:keepLines w:val="0"/>
        <w:pageBreakBefore w:val="0"/>
        <w:widowControl w:val="0"/>
        <w:kinsoku/>
        <w:wordWrap/>
        <w:overflowPunct/>
        <w:topLinePunct/>
        <w:autoSpaceDE/>
        <w:autoSpaceDN/>
        <w:bidi w:val="0"/>
        <w:adjustRightInd/>
        <w:snapToGrid/>
        <w:spacing w:line="400" w:lineRule="exact"/>
        <w:ind w:firstLine="0" w:firstLineChars="0"/>
        <w:jc w:val="center"/>
        <w:textAlignment w:val="auto"/>
        <w:rPr>
          <w:rFonts w:hint="eastAsia" w:ascii="方正黑体_GBK" w:hAnsi="方正黑体_GBK" w:eastAsia="方正黑体_GBK" w:cs="方正黑体_GBK"/>
          <w:b w:val="0"/>
          <w:bCs w:val="0"/>
          <w:color w:val="auto"/>
          <w:sz w:val="32"/>
          <w:szCs w:val="32"/>
        </w:rPr>
      </w:pPr>
    </w:p>
    <w:p>
      <w:pPr>
        <w:keepNext w:val="0"/>
        <w:keepLines w:val="0"/>
        <w:pageBreakBefore w:val="0"/>
        <w:widowControl w:val="0"/>
        <w:kinsoku/>
        <w:wordWrap/>
        <w:overflowPunct/>
        <w:topLinePunct/>
        <w:autoSpaceDE/>
        <w:autoSpaceDN/>
        <w:bidi w:val="0"/>
        <w:adjustRightInd/>
        <w:snapToGrid/>
        <w:spacing w:line="400" w:lineRule="exact"/>
        <w:ind w:firstLine="0" w:firstLineChars="0"/>
        <w:jc w:val="center"/>
        <w:textAlignment w:val="auto"/>
        <w:rPr>
          <w:rFonts w:hint="eastAsia" w:ascii="方正黑体_GBK" w:hAnsi="方正黑体_GBK" w:eastAsia="方正黑体_GBK" w:cs="方正黑体_GBK"/>
          <w:b w:val="0"/>
          <w:bCs w:val="0"/>
          <w:color w:val="auto"/>
          <w:sz w:val="32"/>
          <w:szCs w:val="32"/>
        </w:rPr>
      </w:pPr>
      <w:r>
        <w:rPr>
          <w:rFonts w:hint="eastAsia" w:ascii="方正黑体_GBK" w:hAnsi="方正黑体_GBK" w:eastAsia="方正黑体_GBK" w:cs="方正黑体_GBK"/>
          <w:b w:val="0"/>
          <w:bCs w:val="0"/>
          <w:color w:val="auto"/>
          <w:sz w:val="32"/>
          <w:szCs w:val="32"/>
        </w:rPr>
        <w:t>表4-2</w:t>
      </w:r>
      <w:r>
        <w:rPr>
          <w:rFonts w:hint="eastAsia" w:ascii="方正黑体_GBK" w:hAnsi="方正黑体_GBK" w:eastAsia="方正黑体_GBK" w:cs="方正黑体_GBK"/>
          <w:b w:val="0"/>
          <w:bCs w:val="0"/>
          <w:color w:val="auto"/>
          <w:sz w:val="32"/>
          <w:szCs w:val="32"/>
          <w:lang w:val="en-US" w:eastAsia="zh-CN"/>
        </w:rPr>
        <w:t xml:space="preserve"> </w:t>
      </w:r>
      <w:r>
        <w:rPr>
          <w:rFonts w:hint="eastAsia" w:ascii="方正黑体_GBK" w:hAnsi="方正黑体_GBK" w:eastAsia="方正黑体_GBK" w:cs="方正黑体_GBK"/>
          <w:b w:val="0"/>
          <w:bCs w:val="0"/>
          <w:color w:val="auto"/>
          <w:sz w:val="32"/>
          <w:szCs w:val="32"/>
        </w:rPr>
        <w:t xml:space="preserve"> 国家重要湿地分区布局名录</w:t>
      </w:r>
    </w:p>
    <w:p>
      <w:pPr>
        <w:keepNext w:val="0"/>
        <w:keepLines w:val="0"/>
        <w:pageBreakBefore w:val="0"/>
        <w:widowControl w:val="0"/>
        <w:kinsoku/>
        <w:wordWrap/>
        <w:overflowPunct/>
        <w:topLinePunct w:val="0"/>
        <w:autoSpaceDE/>
        <w:autoSpaceDN/>
        <w:bidi w:val="0"/>
        <w:adjustRightInd/>
        <w:snapToGrid/>
        <w:spacing w:line="100" w:lineRule="exact"/>
        <w:textAlignment w:val="auto"/>
        <w:rPr>
          <w:rFonts w:hint="eastAsia"/>
        </w:rPr>
      </w:pPr>
    </w:p>
    <w:tbl>
      <w:tblPr>
        <w:tblStyle w:val="28"/>
        <w:tblpPr w:leftFromText="180" w:rightFromText="180" w:vertAnchor="text" w:horzAnchor="page" w:tblpXSpec="center" w:tblpY="241"/>
        <w:tblOverlap w:val="never"/>
        <w:tblW w:w="8959" w:type="dxa"/>
        <w:jc w:val="center"/>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2810"/>
        <w:gridCol w:w="3245"/>
        <w:gridCol w:w="2904"/>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exact"/>
          <w:tblHeader/>
          <w:jc w:val="center"/>
        </w:trPr>
        <w:tc>
          <w:tcPr>
            <w:tcW w:w="2810" w:type="dxa"/>
            <w:tcBorders>
              <w:tl2br w:val="nil"/>
              <w:tr2bl w:val="nil"/>
            </w:tcBorders>
            <w:noWrap/>
            <w:tcMar>
              <w:left w:w="0" w:type="dxa"/>
              <w:right w:w="0" w:type="dxa"/>
            </w:tcMar>
            <w:vAlign w:val="center"/>
          </w:tcPr>
          <w:p>
            <w:pPr>
              <w:pageBreakBefore w:val="0"/>
              <w:widowControl w:val="0"/>
              <w:kinsoku/>
              <w:overflowPunct/>
              <w:topLinePunct/>
              <w:autoSpaceDE/>
              <w:autoSpaceDN/>
              <w:bidi w:val="0"/>
              <w:spacing w:line="400" w:lineRule="exact"/>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空</w:t>
            </w:r>
            <w:r>
              <w:rPr>
                <w:rFonts w:hint="eastAsia" w:ascii="黑体" w:hAnsi="黑体" w:eastAsia="黑体" w:cs="黑体"/>
                <w:b w:val="0"/>
                <w:bCs w:val="0"/>
                <w:color w:val="auto"/>
                <w:kern w:val="0"/>
                <w:sz w:val="21"/>
                <w:szCs w:val="21"/>
                <w:lang w:val="en-US" w:eastAsia="zh-CN"/>
              </w:rPr>
              <w:t xml:space="preserve">  </w:t>
            </w:r>
            <w:r>
              <w:rPr>
                <w:rFonts w:hint="eastAsia" w:ascii="黑体" w:hAnsi="黑体" w:eastAsia="黑体" w:cs="黑体"/>
                <w:b w:val="0"/>
                <w:bCs w:val="0"/>
                <w:color w:val="auto"/>
                <w:kern w:val="0"/>
                <w:sz w:val="21"/>
                <w:szCs w:val="21"/>
              </w:rPr>
              <w:t>间</w:t>
            </w:r>
            <w:r>
              <w:rPr>
                <w:rFonts w:hint="eastAsia" w:ascii="黑体" w:hAnsi="黑体" w:eastAsia="黑体" w:cs="黑体"/>
                <w:b w:val="0"/>
                <w:bCs w:val="0"/>
                <w:color w:val="auto"/>
                <w:kern w:val="0"/>
                <w:sz w:val="21"/>
                <w:szCs w:val="21"/>
                <w:lang w:val="en-US" w:eastAsia="zh-CN"/>
              </w:rPr>
              <w:t xml:space="preserve">  </w:t>
            </w:r>
            <w:r>
              <w:rPr>
                <w:rFonts w:hint="eastAsia" w:ascii="黑体" w:hAnsi="黑体" w:eastAsia="黑体" w:cs="黑体"/>
                <w:b w:val="0"/>
                <w:bCs w:val="0"/>
                <w:color w:val="auto"/>
                <w:kern w:val="0"/>
                <w:sz w:val="21"/>
                <w:szCs w:val="21"/>
              </w:rPr>
              <w:t>布</w:t>
            </w:r>
            <w:r>
              <w:rPr>
                <w:rFonts w:hint="eastAsia" w:ascii="黑体" w:hAnsi="黑体" w:eastAsia="黑体" w:cs="黑体"/>
                <w:b w:val="0"/>
                <w:bCs w:val="0"/>
                <w:color w:val="auto"/>
                <w:kern w:val="0"/>
                <w:sz w:val="21"/>
                <w:szCs w:val="21"/>
                <w:lang w:val="en-US" w:eastAsia="zh-CN"/>
              </w:rPr>
              <w:t xml:space="preserve">  </w:t>
            </w:r>
            <w:r>
              <w:rPr>
                <w:rFonts w:hint="eastAsia" w:ascii="黑体" w:hAnsi="黑体" w:eastAsia="黑体" w:cs="黑体"/>
                <w:b w:val="0"/>
                <w:bCs w:val="0"/>
                <w:color w:val="auto"/>
                <w:kern w:val="0"/>
                <w:sz w:val="21"/>
                <w:szCs w:val="21"/>
              </w:rPr>
              <w:t>局</w:t>
            </w:r>
          </w:p>
        </w:tc>
        <w:tc>
          <w:tcPr>
            <w:tcW w:w="3245" w:type="dxa"/>
            <w:tcBorders>
              <w:tl2br w:val="nil"/>
              <w:tr2bl w:val="nil"/>
            </w:tcBorders>
            <w:noWrap w:val="0"/>
            <w:tcMar>
              <w:left w:w="0" w:type="dxa"/>
              <w:right w:w="0" w:type="dxa"/>
            </w:tcMar>
            <w:vAlign w:val="center"/>
          </w:tcPr>
          <w:p>
            <w:pPr>
              <w:pageBreakBefore w:val="0"/>
              <w:widowControl w:val="0"/>
              <w:kinsoku/>
              <w:overflowPunct/>
              <w:topLinePunct/>
              <w:autoSpaceDE/>
              <w:autoSpaceDN/>
              <w:bidi w:val="0"/>
              <w:spacing w:line="400" w:lineRule="exact"/>
              <w:ind w:firstLine="422"/>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现有国家重要湿地（0）</w:t>
            </w:r>
          </w:p>
        </w:tc>
        <w:tc>
          <w:tcPr>
            <w:tcW w:w="2904" w:type="dxa"/>
            <w:tcBorders>
              <w:tl2br w:val="nil"/>
              <w:tr2bl w:val="nil"/>
            </w:tcBorders>
            <w:noWrap/>
            <w:tcMar>
              <w:left w:w="0" w:type="dxa"/>
              <w:right w:w="0" w:type="dxa"/>
            </w:tcMar>
            <w:vAlign w:val="center"/>
          </w:tcPr>
          <w:p>
            <w:pPr>
              <w:pageBreakBefore w:val="0"/>
              <w:widowControl w:val="0"/>
              <w:kinsoku/>
              <w:overflowPunct/>
              <w:topLinePunct/>
              <w:autoSpaceDE/>
              <w:autoSpaceDN/>
              <w:bidi w:val="0"/>
              <w:spacing w:line="400" w:lineRule="exact"/>
              <w:ind w:firstLine="210" w:firstLineChars="10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国家重要湿地候选区（9）</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1100" w:hRule="exact"/>
          <w:jc w:val="center"/>
        </w:trPr>
        <w:tc>
          <w:tcPr>
            <w:tcW w:w="2810"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嫩江与额尔古纳河湿地生态保护恢复区</w:t>
            </w:r>
          </w:p>
        </w:tc>
        <w:tc>
          <w:tcPr>
            <w:tcW w:w="324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2904"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乌力胡舒、额尔古纳河、兴安里、奎勒河、图牧吉</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exact"/>
          <w:jc w:val="center"/>
        </w:trPr>
        <w:tc>
          <w:tcPr>
            <w:tcW w:w="2810"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西辽河湿地生态保护修复区</w:t>
            </w:r>
          </w:p>
        </w:tc>
        <w:tc>
          <w:tcPr>
            <w:tcW w:w="324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2904"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exact"/>
          <w:jc w:val="center"/>
        </w:trPr>
        <w:tc>
          <w:tcPr>
            <w:tcW w:w="2810"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spacing w:val="-6"/>
                <w:kern w:val="0"/>
                <w:sz w:val="21"/>
                <w:szCs w:val="21"/>
              </w:rPr>
              <w:t>滦河与永定河湿地生态保护区</w:t>
            </w:r>
          </w:p>
        </w:tc>
        <w:tc>
          <w:tcPr>
            <w:tcW w:w="324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2904"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exact"/>
          <w:jc w:val="center"/>
        </w:trPr>
        <w:tc>
          <w:tcPr>
            <w:tcW w:w="2810"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黄河湿地重点生态区</w:t>
            </w:r>
          </w:p>
        </w:tc>
        <w:tc>
          <w:tcPr>
            <w:tcW w:w="324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2904"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jc w:val="both"/>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kern w:val="0"/>
                <w:sz w:val="21"/>
                <w:szCs w:val="21"/>
              </w:rPr>
              <w:t>乌梁素海</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80" w:hRule="exact"/>
          <w:jc w:val="center"/>
        </w:trPr>
        <w:tc>
          <w:tcPr>
            <w:tcW w:w="2810"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内流河湿地生态保护修复区</w:t>
            </w:r>
          </w:p>
        </w:tc>
        <w:tc>
          <w:tcPr>
            <w:tcW w:w="3245" w:type="dxa"/>
            <w:tcBorders>
              <w:tl2br w:val="nil"/>
              <w:tr2bl w:val="nil"/>
            </w:tcBorders>
            <w:noWrap w:val="0"/>
            <w:tcMar>
              <w:left w:w="113" w:type="dxa"/>
              <w:right w:w="113" w:type="dxa"/>
            </w:tcMar>
            <w:vAlign w:val="center"/>
          </w:tcPr>
          <w:p>
            <w:pPr>
              <w:pageBreakBefore w:val="0"/>
              <w:widowControl w:val="0"/>
              <w:kinsoku/>
              <w:overflowPunct/>
              <w:topLinePunct/>
              <w:autoSpaceDE/>
              <w:autoSpaceDN/>
              <w:bidi w:val="0"/>
              <w:spacing w:line="240" w:lineRule="auto"/>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2904" w:type="dxa"/>
            <w:tcBorders>
              <w:tl2br w:val="nil"/>
              <w:tr2bl w:val="nil"/>
            </w:tcBorders>
            <w:noWrap/>
            <w:tcMar>
              <w:left w:w="113" w:type="dxa"/>
              <w:right w:w="113" w:type="dxa"/>
            </w:tcMar>
            <w:vAlign w:val="center"/>
          </w:tcPr>
          <w:p>
            <w:pPr>
              <w:pageBreakBefore w:val="0"/>
              <w:widowControl w:val="0"/>
              <w:kinsoku/>
              <w:overflowPunct/>
              <w:topLinePunct/>
              <w:autoSpaceDE/>
              <w:autoSpaceDN/>
              <w:bidi w:val="0"/>
              <w:spacing w:line="240" w:lineRule="auto"/>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达里诺尔、岱海、察汗淖尔</w:t>
            </w:r>
          </w:p>
        </w:tc>
      </w:tr>
    </w:tbl>
    <w:p>
      <w:pPr>
        <w:keepNext w:val="0"/>
        <w:keepLines w:val="0"/>
        <w:pageBreakBefore w:val="0"/>
        <w:widowControl w:val="0"/>
        <w:kinsoku/>
        <w:wordWrap/>
        <w:overflowPunct/>
        <w:topLinePunct/>
        <w:autoSpaceDE/>
        <w:autoSpaceDN/>
        <w:bidi w:val="0"/>
        <w:adjustRightInd/>
        <w:snapToGrid/>
        <w:spacing w:line="400" w:lineRule="exact"/>
        <w:ind w:firstLine="0" w:firstLineChars="0"/>
        <w:textAlignment w:val="auto"/>
        <w:rPr>
          <w:rFonts w:hint="eastAsia" w:ascii="方正仿宋_GBK" w:hAnsi="方正仿宋_GBK" w:eastAsia="方正仿宋_GBK" w:cs="方正仿宋_GBK"/>
          <w:b w:val="0"/>
          <w:bCs w:val="0"/>
          <w:color w:val="auto"/>
          <w:kern w:val="0"/>
          <w:sz w:val="21"/>
          <w:szCs w:val="21"/>
        </w:rPr>
      </w:pPr>
    </w:p>
    <w:p>
      <w:pPr>
        <w:keepNext w:val="0"/>
        <w:keepLines w:val="0"/>
        <w:pageBreakBefore w:val="0"/>
        <w:widowControl w:val="0"/>
        <w:kinsoku/>
        <w:wordWrap/>
        <w:overflowPunct/>
        <w:topLinePunct/>
        <w:autoSpaceDE/>
        <w:autoSpaceDN/>
        <w:bidi w:val="0"/>
        <w:adjustRightInd/>
        <w:snapToGrid/>
        <w:spacing w:line="400" w:lineRule="exact"/>
        <w:ind w:firstLine="0" w:firstLineChars="0"/>
        <w:jc w:val="center"/>
        <w:textAlignment w:val="auto"/>
        <w:rPr>
          <w:rFonts w:hint="eastAsia" w:ascii="方正黑体_GBK" w:hAnsi="方正黑体_GBK" w:eastAsia="方正黑体_GBK" w:cs="方正黑体_GBK"/>
          <w:b w:val="0"/>
          <w:bCs w:val="0"/>
          <w:color w:val="auto"/>
          <w:sz w:val="32"/>
          <w:szCs w:val="32"/>
        </w:rPr>
      </w:pPr>
      <w:r>
        <w:rPr>
          <w:rFonts w:hint="eastAsia" w:ascii="方正黑体_GBK" w:hAnsi="方正黑体_GBK" w:eastAsia="方正黑体_GBK" w:cs="方正黑体_GBK"/>
          <w:b w:val="0"/>
          <w:bCs w:val="0"/>
          <w:color w:val="auto"/>
          <w:kern w:val="0"/>
          <w:sz w:val="32"/>
          <w:szCs w:val="32"/>
        </w:rPr>
        <w:t>表4-3</w:t>
      </w:r>
      <w:r>
        <w:rPr>
          <w:rFonts w:hint="eastAsia" w:ascii="方正黑体_GBK" w:hAnsi="方正黑体_GBK" w:eastAsia="方正黑体_GBK" w:cs="方正黑体_GBK"/>
          <w:b w:val="0"/>
          <w:bCs w:val="0"/>
          <w:color w:val="auto"/>
          <w:kern w:val="0"/>
          <w:sz w:val="32"/>
          <w:szCs w:val="32"/>
          <w:lang w:val="en-US" w:eastAsia="zh-CN"/>
        </w:rPr>
        <w:t xml:space="preserve">  </w:t>
      </w:r>
      <w:r>
        <w:rPr>
          <w:rFonts w:hint="eastAsia" w:ascii="方正黑体_GBK" w:hAnsi="方正黑体_GBK" w:eastAsia="方正黑体_GBK" w:cs="方正黑体_GBK"/>
          <w:b w:val="0"/>
          <w:bCs w:val="0"/>
          <w:color w:val="auto"/>
          <w:kern w:val="0"/>
          <w:sz w:val="32"/>
          <w:szCs w:val="32"/>
        </w:rPr>
        <w:t>自治区重要湿地分区布局名录</w:t>
      </w:r>
    </w:p>
    <w:tbl>
      <w:tblPr>
        <w:tblStyle w:val="28"/>
        <w:tblpPr w:leftFromText="180" w:rightFromText="180" w:vertAnchor="text" w:horzAnchor="page" w:tblpXSpec="center" w:tblpY="432"/>
        <w:tblOverlap w:val="never"/>
        <w:tblW w:w="8875" w:type="dxa"/>
        <w:jc w:val="center"/>
        <w:tblInd w:w="0"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1548"/>
        <w:gridCol w:w="4536"/>
        <w:gridCol w:w="2791"/>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exact"/>
          <w:tblHeader/>
          <w:jc w:val="center"/>
        </w:trPr>
        <w:tc>
          <w:tcPr>
            <w:tcW w:w="1548" w:type="dxa"/>
            <w:tcBorders>
              <w:tl2br w:val="nil"/>
              <w:tr2bl w:val="nil"/>
            </w:tcBorders>
            <w:noWrap/>
            <w:tcMar>
              <w:left w:w="0" w:type="dxa"/>
              <w:right w:w="0"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方正黑体_GBK" w:hAnsi="方正黑体_GBK" w:eastAsia="方正黑体_GBK" w:cs="方正黑体_GBK"/>
                <w:b w:val="0"/>
                <w:bCs w:val="0"/>
                <w:color w:val="auto"/>
                <w:kern w:val="0"/>
                <w:sz w:val="21"/>
                <w:szCs w:val="21"/>
              </w:rPr>
            </w:pPr>
            <w:r>
              <w:rPr>
                <w:rFonts w:hint="eastAsia" w:ascii="方正黑体_GBK" w:hAnsi="方正黑体_GBK" w:eastAsia="方正黑体_GBK" w:cs="方正黑体_GBK"/>
                <w:b w:val="0"/>
                <w:bCs w:val="0"/>
                <w:color w:val="auto"/>
                <w:kern w:val="0"/>
                <w:sz w:val="21"/>
                <w:szCs w:val="21"/>
              </w:rPr>
              <w:t>空间布局</w:t>
            </w:r>
          </w:p>
        </w:tc>
        <w:tc>
          <w:tcPr>
            <w:tcW w:w="4536" w:type="dxa"/>
            <w:tcBorders>
              <w:tl2br w:val="nil"/>
              <w:tr2bl w:val="nil"/>
            </w:tcBorders>
            <w:noWrap w:val="0"/>
            <w:tcMar>
              <w:left w:w="0" w:type="dxa"/>
              <w:right w:w="0"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方正黑体_GBK" w:hAnsi="方正黑体_GBK" w:eastAsia="方正黑体_GBK" w:cs="方正黑体_GBK"/>
                <w:b w:val="0"/>
                <w:bCs w:val="0"/>
                <w:color w:val="auto"/>
                <w:kern w:val="0"/>
                <w:sz w:val="21"/>
                <w:szCs w:val="21"/>
              </w:rPr>
            </w:pPr>
            <w:r>
              <w:rPr>
                <w:rFonts w:hint="eastAsia" w:ascii="方正黑体_GBK" w:hAnsi="方正黑体_GBK" w:eastAsia="方正黑体_GBK" w:cs="方正黑体_GBK"/>
                <w:b w:val="0"/>
                <w:bCs w:val="0"/>
                <w:color w:val="auto"/>
                <w:kern w:val="0"/>
                <w:sz w:val="21"/>
                <w:szCs w:val="21"/>
              </w:rPr>
              <w:t>现有自治区重要湿地（47）</w:t>
            </w:r>
          </w:p>
        </w:tc>
        <w:tc>
          <w:tcPr>
            <w:tcW w:w="2791" w:type="dxa"/>
            <w:tcBorders>
              <w:tl2br w:val="nil"/>
              <w:tr2bl w:val="nil"/>
            </w:tcBorders>
            <w:noWrap/>
            <w:tcMar>
              <w:left w:w="0" w:type="dxa"/>
              <w:right w:w="0"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方正黑体_GBK" w:hAnsi="方正黑体_GBK" w:eastAsia="方正黑体_GBK" w:cs="方正黑体_GBK"/>
                <w:b w:val="0"/>
                <w:bCs w:val="0"/>
                <w:color w:val="auto"/>
                <w:kern w:val="0"/>
                <w:sz w:val="21"/>
                <w:szCs w:val="21"/>
              </w:rPr>
            </w:pPr>
            <w:r>
              <w:rPr>
                <w:rFonts w:hint="eastAsia" w:ascii="方正黑体_GBK" w:hAnsi="方正黑体_GBK" w:eastAsia="方正黑体_GBK" w:cs="方正黑体_GBK"/>
                <w:b w:val="0"/>
                <w:bCs w:val="0"/>
                <w:color w:val="auto"/>
                <w:kern w:val="0"/>
                <w:sz w:val="21"/>
                <w:szCs w:val="21"/>
              </w:rPr>
              <w:t>自治区重要湿地候选区（16）</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7323" w:hRule="exact"/>
          <w:jc w:val="center"/>
        </w:trPr>
        <w:tc>
          <w:tcPr>
            <w:tcW w:w="1548"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嫩江与额尔古纳河湿地生态保护恢复区</w:t>
            </w:r>
          </w:p>
        </w:tc>
        <w:tc>
          <w:tcPr>
            <w:tcW w:w="4536"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28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spacing w:val="-6"/>
                <w:kern w:val="0"/>
                <w:sz w:val="21"/>
                <w:szCs w:val="21"/>
              </w:rPr>
              <w:t>内蒙古乌奴耳长寿湖自治区重要湿地、内蒙古银岭河自治区重要湿地、内蒙古索尔奇自治区重要湿地、内蒙古扎兰屯秀水自治区重要湿地、内蒙古额尔古纳自治区重要湿地、内蒙古免渡河自治区重要湿地、内蒙古南木雅克河自治区重要湿地、内蒙古巴林雅鲁河自治区重要湿地、内蒙古柴河固里自治区重要湿地、内蒙古莫力达瓦巴彦自治区重要湿地、内蒙古红花尔基伊敏河自治区重要湿地、内蒙古陈巴尔虎陶海自治区重要湿地、内蒙古额尔古纳河区域自治区重要湿地、内蒙古科尔沁自治区重要湿地、内蒙古图牧吉自治区重要湿地、内蒙古乌兰浩特洮儿河自治区重要湿地、内蒙古奎勒河自治区重要湿地、内蒙古大杨树奎勒河自治区重要湿地、内蒙古伊图里河自治区重要湿地、内蒙古图里河自治区重要湿地、内蒙古克一河自治区重要湿地、内蒙古吉文布苏里自治区重要湿地、内蒙古汗马自治区重要湿地、内蒙古兴安里自治区重要湿地、内蒙古库都尔河自治区重要湿地、内蒙古根河源自治区重要湿地、内蒙古绰源自治区重要湿地、内蒙古牛耳河自治区重要湿地、内蒙古卡鲁奔自治区重要湿地、内蒙古绰尔雅多罗自治区重要湿地、内蒙古阿木珠苏自治区重要湿地、内蒙古满归贝尔茨河自治区重要湿地、内蒙古甘河自治区重要湿地、内蒙古</w:t>
            </w:r>
            <w:r>
              <w:rPr>
                <w:rFonts w:hint="eastAsia" w:ascii="宋体" w:hAnsi="宋体" w:eastAsia="宋体" w:cs="宋体"/>
                <w:b w:val="0"/>
                <w:bCs w:val="0"/>
                <w:color w:val="auto"/>
                <w:spacing w:val="-11"/>
                <w:kern w:val="0"/>
                <w:sz w:val="21"/>
                <w:szCs w:val="21"/>
              </w:rPr>
              <w:t>毕拉河自治区重要湿地、内蒙古阿龙山敖鲁古雅自治区重要湿地、内蒙古阿尔山哈拉哈河自治区重要湿地</w:t>
            </w:r>
          </w:p>
        </w:tc>
        <w:tc>
          <w:tcPr>
            <w:tcW w:w="2791"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托欣河、乌力胡舒、白狼洮儿河、莫和尔图</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751" w:hRule="exact"/>
          <w:jc w:val="center"/>
        </w:trPr>
        <w:tc>
          <w:tcPr>
            <w:tcW w:w="1548"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西辽河湿地生态保护修复区</w:t>
            </w:r>
          </w:p>
        </w:tc>
        <w:tc>
          <w:tcPr>
            <w:tcW w:w="4536"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内蒙古奈曼孟家段自治区重要湿地</w:t>
            </w:r>
          </w:p>
        </w:tc>
        <w:tc>
          <w:tcPr>
            <w:tcW w:w="2791"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胡力斯台淖尔、乌力吉木伦河、静湖</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829" w:hRule="exact"/>
          <w:jc w:val="center"/>
        </w:trPr>
        <w:tc>
          <w:tcPr>
            <w:tcW w:w="1548"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spacing w:val="-11"/>
                <w:kern w:val="0"/>
                <w:sz w:val="21"/>
                <w:szCs w:val="21"/>
              </w:rPr>
              <w:t>滦河与永定河湿地生态保护区</w:t>
            </w:r>
          </w:p>
        </w:tc>
        <w:tc>
          <w:tcPr>
            <w:tcW w:w="4536"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2791"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上都河</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1381" w:hRule="exact"/>
          <w:jc w:val="center"/>
        </w:trPr>
        <w:tc>
          <w:tcPr>
            <w:tcW w:w="1548"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黄河湿地重点生态区</w:t>
            </w:r>
          </w:p>
        </w:tc>
        <w:tc>
          <w:tcPr>
            <w:tcW w:w="4536"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内蒙古南海子自治区重要湿地、内蒙古包头黄河自治区重要湿地、内蒙古包头昆都仑河自治区重要湿地、内蒙古乌梁素海自治区重要湿地、内蒙古巴美湖自治区重要湿地</w:t>
            </w:r>
          </w:p>
        </w:tc>
        <w:tc>
          <w:tcPr>
            <w:tcW w:w="2791"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临河黄河、纳林湖、奈伦湖、屠申泽、哈素海</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1275" w:hRule="exact"/>
          <w:jc w:val="center"/>
        </w:trPr>
        <w:tc>
          <w:tcPr>
            <w:tcW w:w="1548"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内流河湿地生态保护修复区</w:t>
            </w:r>
          </w:p>
        </w:tc>
        <w:tc>
          <w:tcPr>
            <w:tcW w:w="4536"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内蒙古萨拉乌苏自治区重要湿地、内蒙古达里诺尔自治区重要湿地、内蒙古岱海自治区重要湿地、内蒙古商都察汗淖尔自治区重要湿地、内蒙古牧羊海自治区重要湿地</w:t>
            </w:r>
          </w:p>
        </w:tc>
        <w:tc>
          <w:tcPr>
            <w:tcW w:w="2791"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锡林河、骏马湖、居延海</w:t>
            </w:r>
          </w:p>
        </w:tc>
      </w:tr>
    </w:tbl>
    <w:p>
      <w:pPr>
        <w:keepNext w:val="0"/>
        <w:keepLines w:val="0"/>
        <w:pageBreakBefore w:val="0"/>
        <w:widowControl w:val="0"/>
        <w:kinsoku/>
        <w:wordWrap/>
        <w:overflowPunct/>
        <w:topLinePunct/>
        <w:autoSpaceDE/>
        <w:autoSpaceDN/>
        <w:bidi w:val="0"/>
        <w:adjustRightInd/>
        <w:snapToGrid/>
        <w:spacing w:line="800" w:lineRule="exact"/>
        <w:jc w:val="center"/>
        <w:textAlignment w:val="auto"/>
        <w:rPr>
          <w:rFonts w:hint="eastAsia" w:ascii="黑体" w:hAnsi="黑体" w:eastAsia="黑体" w:cs="黑体"/>
          <w:b w:val="0"/>
          <w:bCs w:val="0"/>
          <w:color w:val="auto"/>
          <w:kern w:val="0"/>
          <w:sz w:val="32"/>
          <w:szCs w:val="32"/>
        </w:rPr>
      </w:pPr>
      <w:r>
        <w:rPr>
          <w:rFonts w:hint="eastAsia" w:ascii="黑体" w:hAnsi="黑体" w:eastAsia="黑体" w:cs="黑体"/>
          <w:b w:val="0"/>
          <w:bCs w:val="0"/>
          <w:color w:val="auto"/>
          <w:kern w:val="0"/>
          <w:sz w:val="32"/>
          <w:szCs w:val="32"/>
        </w:rPr>
        <w:t>表4-4</w:t>
      </w:r>
      <w:r>
        <w:rPr>
          <w:rFonts w:hint="eastAsia" w:ascii="黑体" w:hAnsi="黑体" w:eastAsia="黑体" w:cs="黑体"/>
          <w:b w:val="0"/>
          <w:bCs w:val="0"/>
          <w:color w:val="auto"/>
          <w:kern w:val="0"/>
          <w:sz w:val="32"/>
          <w:szCs w:val="32"/>
          <w:lang w:val="en-US" w:eastAsia="zh-CN"/>
        </w:rPr>
        <w:t xml:space="preserve">  </w:t>
      </w:r>
      <w:r>
        <w:rPr>
          <w:rFonts w:hint="eastAsia" w:ascii="黑体" w:hAnsi="黑体" w:eastAsia="黑体" w:cs="黑体"/>
          <w:b w:val="0"/>
          <w:bCs w:val="0"/>
          <w:color w:val="auto"/>
          <w:kern w:val="0"/>
          <w:sz w:val="32"/>
          <w:szCs w:val="32"/>
        </w:rPr>
        <w:t>国家湿地公园分区布局名录</w:t>
      </w:r>
    </w:p>
    <w:p>
      <w:pPr>
        <w:keepNext w:val="0"/>
        <w:keepLines w:val="0"/>
        <w:pageBreakBefore w:val="0"/>
        <w:widowControl w:val="0"/>
        <w:kinsoku/>
        <w:wordWrap/>
        <w:overflowPunct/>
        <w:topLinePunct w:val="0"/>
        <w:autoSpaceDE/>
        <w:autoSpaceDN/>
        <w:bidi w:val="0"/>
        <w:adjustRightInd/>
        <w:snapToGrid/>
        <w:spacing w:line="160" w:lineRule="exact"/>
        <w:textAlignment w:val="auto"/>
        <w:rPr>
          <w:rFonts w:hint="eastAsia"/>
        </w:rPr>
      </w:pPr>
    </w:p>
    <w:tbl>
      <w:tblPr>
        <w:tblStyle w:val="28"/>
        <w:tblW w:w="8909" w:type="dxa"/>
        <w:jc w:val="center"/>
        <w:tblInd w:w="212"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1773"/>
        <w:gridCol w:w="4745"/>
        <w:gridCol w:w="2391"/>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567" w:hRule="exact"/>
          <w:tblHeader/>
          <w:jc w:val="center"/>
        </w:trPr>
        <w:tc>
          <w:tcPr>
            <w:tcW w:w="1773" w:type="dxa"/>
            <w:tcBorders>
              <w:tl2br w:val="nil"/>
              <w:tr2bl w:val="nil"/>
            </w:tcBorders>
            <w:noWrap/>
            <w:tcMar>
              <w:left w:w="0" w:type="dxa"/>
              <w:right w:w="0"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空间布局</w:t>
            </w:r>
          </w:p>
        </w:tc>
        <w:tc>
          <w:tcPr>
            <w:tcW w:w="4745" w:type="dxa"/>
            <w:tcBorders>
              <w:tl2br w:val="nil"/>
              <w:tr2bl w:val="nil"/>
            </w:tcBorders>
            <w:noWrap w:val="0"/>
            <w:tcMar>
              <w:left w:w="0" w:type="dxa"/>
              <w:right w:w="0"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现有国家湿地公园（53）（含试点）</w:t>
            </w:r>
          </w:p>
        </w:tc>
        <w:tc>
          <w:tcPr>
            <w:tcW w:w="2391" w:type="dxa"/>
            <w:tcBorders>
              <w:tl2br w:val="nil"/>
              <w:tr2bl w:val="nil"/>
            </w:tcBorders>
            <w:noWrap/>
            <w:tcMar>
              <w:left w:w="0" w:type="dxa"/>
              <w:right w:w="0"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黑体" w:hAnsi="黑体" w:eastAsia="黑体" w:cs="黑体"/>
                <w:b w:val="0"/>
                <w:bCs w:val="0"/>
                <w:color w:val="auto"/>
                <w:kern w:val="0"/>
                <w:sz w:val="21"/>
                <w:szCs w:val="21"/>
              </w:rPr>
            </w:pPr>
            <w:r>
              <w:rPr>
                <w:rFonts w:hint="eastAsia" w:ascii="黑体" w:hAnsi="黑体" w:eastAsia="黑体" w:cs="黑体"/>
                <w:b w:val="0"/>
                <w:bCs w:val="0"/>
                <w:color w:val="auto"/>
                <w:kern w:val="0"/>
                <w:sz w:val="21"/>
                <w:szCs w:val="21"/>
              </w:rPr>
              <w:t>国家湿地公园候选区（2）</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418" w:hRule="exact"/>
          <w:jc w:val="center"/>
        </w:trPr>
        <w:tc>
          <w:tcPr>
            <w:tcW w:w="1773"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嫩江与额尔古纳河</w:t>
            </w:r>
            <w:r>
              <w:rPr>
                <w:rFonts w:hint="eastAsia" w:ascii="宋体" w:hAnsi="宋体" w:eastAsia="宋体" w:cs="宋体"/>
                <w:b w:val="0"/>
                <w:bCs w:val="0"/>
                <w:color w:val="auto"/>
                <w:spacing w:val="-11"/>
                <w:kern w:val="0"/>
                <w:sz w:val="21"/>
                <w:szCs w:val="21"/>
              </w:rPr>
              <w:t>湿地生态保护恢复区</w:t>
            </w:r>
          </w:p>
        </w:tc>
        <w:tc>
          <w:tcPr>
            <w:tcW w:w="4745"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spacing w:val="-6"/>
                <w:kern w:val="0"/>
                <w:sz w:val="21"/>
                <w:szCs w:val="21"/>
              </w:rPr>
              <w:t>内蒙古额尔古纳国家湿地公园、内蒙古免渡河国家湿地公园、内蒙古索尔奇国家湿地公园、内蒙古扎兰屯秀水国家湿地公园、内蒙古莫和尔图国家湿地公园、内蒙古陈巴尔虎陶海国家湿地公园、内蒙古巴林雅鲁河国家湿地公园、内蒙古柴河固里河国家湿地公园、内蒙古乌奴耳长寿湖国家湿地公园、内蒙古莫力达瓦巴彦国家湿地公园、内蒙古南木雅克河国家湿地公园、内蒙古红花尔基伊敏河国家湿地公园、内蒙古呼伦贝尔银岭河国家湿地公园、内蒙古满洲里霍勒金布拉格国家湿地公园、内蒙古满洲里二卡国家湿地公园、内蒙古白狼洮儿河国家湿地公园、内蒙古乌兰浩特洮儿河国家湿地公园、内蒙古白狼奥伦布坎国家湿地公园、内蒙古扎赉特淖尔托欣河国家湿地公园、内蒙古大兴安岭根河源国家湿地公园、内蒙古大兴安岭图里河国家湿地公园、内蒙古牛耳河国家湿地公园、内蒙古绰尔国家湿地公园、内蒙古伊图里河国家湿地公园、内蒙古大杨树奎勒河国家湿地公园、内蒙古甘河国家湿地公园、内蒙古阿尔山哈拉哈河国家湿地公园、内蒙古卡鲁奔国家湿地公园、内蒙古库都尔河国家湿地公园、内蒙古绰尔雅多罗国家湿地公园、内蒙古满归</w:t>
            </w:r>
            <w:r>
              <w:rPr>
                <w:rFonts w:hint="eastAsia" w:ascii="宋体" w:hAnsi="宋体" w:eastAsia="宋体" w:cs="宋体"/>
                <w:b w:val="0"/>
                <w:bCs w:val="0"/>
                <w:color w:val="auto"/>
                <w:kern w:val="0"/>
                <w:sz w:val="21"/>
                <w:szCs w:val="21"/>
              </w:rPr>
              <w:t>贝尔茨河国家湿地公园</w:t>
            </w:r>
          </w:p>
        </w:tc>
        <w:tc>
          <w:tcPr>
            <w:tcW w:w="2391"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内蒙古敖鲁古雅自治区湿地公园</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1358" w:hRule="exact"/>
          <w:jc w:val="center"/>
        </w:trPr>
        <w:tc>
          <w:tcPr>
            <w:tcW w:w="1773"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西辽河湿地生态保护修复区</w:t>
            </w:r>
          </w:p>
        </w:tc>
        <w:tc>
          <w:tcPr>
            <w:tcW w:w="4745"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内蒙古奈曼孟家段国家湿地公园、内蒙古科左后旗胡力斯台淖尔国家湿地公园、内蒙古巴林左旗乌力吉木伦河国家湿地公园、内蒙古霍林河静湖国家湿地公园</w:t>
            </w:r>
          </w:p>
        </w:tc>
        <w:tc>
          <w:tcPr>
            <w:tcW w:w="2391"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900" w:hRule="exact"/>
          <w:jc w:val="center"/>
        </w:trPr>
        <w:tc>
          <w:tcPr>
            <w:tcW w:w="1773"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滦河与永定河湿地生态保护区</w:t>
            </w:r>
          </w:p>
        </w:tc>
        <w:tc>
          <w:tcPr>
            <w:tcW w:w="4745"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内蒙古正蓝旗上都河国家湿地公园、内蒙古多伦滦河源国家湿地公园</w:t>
            </w:r>
          </w:p>
        </w:tc>
        <w:tc>
          <w:tcPr>
            <w:tcW w:w="2391"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2649" w:hRule="exact"/>
          <w:jc w:val="center"/>
        </w:trPr>
        <w:tc>
          <w:tcPr>
            <w:tcW w:w="1773"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spacing w:val="-11"/>
                <w:kern w:val="0"/>
                <w:sz w:val="21"/>
                <w:szCs w:val="21"/>
              </w:rPr>
              <w:t>黄河湿地重点生态区</w:t>
            </w:r>
          </w:p>
        </w:tc>
        <w:tc>
          <w:tcPr>
            <w:tcW w:w="4745"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28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哈素海国家湿地公园、内蒙古包头黄河国家湿地公园、内蒙古包头昆都仑河国家湿地公园、内蒙古萨拉乌苏国家湿地公园、内蒙古达拉特旗乌兰淖尔国家湿地公园、内蒙古巴美湖国家湿地公园、内蒙古纳林湖国家湿地公园、内蒙古临河黄河国家湿地公园、内蒙古磴口奈伦湖国家湿地公园、内蒙古乌海龙游湾国家湿地公园、内蒙古阿拉善黄河国家湿地公园</w:t>
            </w:r>
          </w:p>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p>
        </w:tc>
        <w:tc>
          <w:tcPr>
            <w:tcW w:w="2391"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1468" w:hRule="exact"/>
          <w:jc w:val="center"/>
        </w:trPr>
        <w:tc>
          <w:tcPr>
            <w:tcW w:w="1773"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内流河湿地生态保护修复区</w:t>
            </w:r>
          </w:p>
        </w:tc>
        <w:tc>
          <w:tcPr>
            <w:tcW w:w="4745"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内蒙古兴和察哈尔湖国家湿地公园、内蒙古集宁霸王河国家湿地公园、内蒙古锡林河国家湿地公园、内蒙古正镶白旗骏马湖国家湿地公园、内蒙古清水河县浑河国家湿地公园</w:t>
            </w:r>
          </w:p>
        </w:tc>
        <w:tc>
          <w:tcPr>
            <w:tcW w:w="2391"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内蒙古商都察汗淖尔自治区湿地公园</w:t>
            </w:r>
          </w:p>
        </w:tc>
      </w:tr>
    </w:tbl>
    <w:tbl>
      <w:tblPr>
        <w:tblStyle w:val="28"/>
        <w:tblpPr w:leftFromText="180" w:rightFromText="180" w:vertAnchor="text" w:horzAnchor="page" w:tblpXSpec="center" w:tblpY="921"/>
        <w:tblOverlap w:val="never"/>
        <w:tblW w:w="9024" w:type="dxa"/>
        <w:jc w:val="center"/>
        <w:tblInd w:w="7"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1543"/>
        <w:gridCol w:w="3535"/>
        <w:gridCol w:w="2446"/>
        <w:gridCol w:w="1500"/>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972" w:hRule="exact"/>
          <w:tblHeader/>
          <w:jc w:val="center"/>
        </w:trPr>
        <w:tc>
          <w:tcPr>
            <w:tcW w:w="1543" w:type="dxa"/>
            <w:tcBorders>
              <w:tl2br w:val="nil"/>
              <w:tr2bl w:val="nil"/>
            </w:tcBorders>
            <w:noWrap/>
            <w:tcMar>
              <w:left w:w="0" w:type="dxa"/>
              <w:right w:w="0" w:type="dxa"/>
            </w:tcMar>
            <w:vAlign w:val="center"/>
          </w:tcPr>
          <w:p>
            <w:pPr>
              <w:keepNext w:val="0"/>
              <w:keepLines w:val="0"/>
              <w:pageBreakBefore w:val="0"/>
              <w:widowControl w:val="0"/>
              <w:kinsoku/>
              <w:wordWrap/>
              <w:overflowPunct/>
              <w:topLinePunct/>
              <w:autoSpaceDE/>
              <w:autoSpaceDN/>
              <w:bidi w:val="0"/>
              <w:adjustRightInd/>
              <w:snapToGrid/>
              <w:spacing w:line="300" w:lineRule="exact"/>
              <w:jc w:val="center"/>
              <w:textAlignment w:val="auto"/>
              <w:rPr>
                <w:rFonts w:hint="eastAsia" w:ascii="方正黑体_GBK" w:hAnsi="方正黑体_GBK" w:eastAsia="方正黑体_GBK" w:cs="方正黑体_GBK"/>
                <w:b w:val="0"/>
                <w:bCs w:val="0"/>
                <w:color w:val="auto"/>
                <w:kern w:val="0"/>
                <w:sz w:val="21"/>
                <w:szCs w:val="21"/>
              </w:rPr>
            </w:pPr>
            <w:r>
              <w:rPr>
                <w:rFonts w:hint="eastAsia" w:ascii="方正黑体_GBK" w:hAnsi="方正黑体_GBK" w:eastAsia="方正黑体_GBK" w:cs="方正黑体_GBK"/>
                <w:b w:val="0"/>
                <w:bCs w:val="0"/>
                <w:color w:val="auto"/>
                <w:kern w:val="0"/>
                <w:sz w:val="21"/>
                <w:szCs w:val="21"/>
              </w:rPr>
              <w:t>空间布局</w:t>
            </w:r>
          </w:p>
        </w:tc>
        <w:tc>
          <w:tcPr>
            <w:tcW w:w="3535" w:type="dxa"/>
            <w:tcBorders>
              <w:tl2br w:val="nil"/>
              <w:tr2bl w:val="nil"/>
            </w:tcBorders>
            <w:noWrap w:val="0"/>
            <w:tcMar>
              <w:left w:w="0" w:type="dxa"/>
              <w:right w:w="0"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方正黑体_GBK" w:hAnsi="方正黑体_GBK" w:eastAsia="方正黑体_GBK" w:cs="方正黑体_GBK"/>
                <w:b w:val="0"/>
                <w:bCs w:val="0"/>
                <w:color w:val="auto"/>
                <w:kern w:val="0"/>
                <w:sz w:val="21"/>
                <w:szCs w:val="21"/>
              </w:rPr>
            </w:pPr>
            <w:r>
              <w:rPr>
                <w:rFonts w:hint="eastAsia" w:ascii="方正黑体_GBK" w:hAnsi="方正黑体_GBK" w:eastAsia="方正黑体_GBK" w:cs="方正黑体_GBK"/>
                <w:b w:val="0"/>
                <w:bCs w:val="0"/>
                <w:color w:val="auto"/>
                <w:kern w:val="0"/>
                <w:sz w:val="21"/>
                <w:szCs w:val="21"/>
              </w:rPr>
              <w:t>现有自治区湿地公园（10）</w:t>
            </w:r>
          </w:p>
        </w:tc>
        <w:tc>
          <w:tcPr>
            <w:tcW w:w="2446" w:type="dxa"/>
            <w:tcBorders>
              <w:tl2br w:val="nil"/>
              <w:tr2bl w:val="nil"/>
            </w:tcBorders>
            <w:noWrap/>
            <w:tcMar>
              <w:left w:w="0" w:type="dxa"/>
              <w:right w:w="0"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方正黑体_GBK" w:hAnsi="方正黑体_GBK" w:eastAsia="方正黑体_GBK" w:cs="方正黑体_GBK"/>
                <w:b w:val="0"/>
                <w:bCs w:val="0"/>
                <w:color w:val="auto"/>
                <w:kern w:val="0"/>
                <w:sz w:val="21"/>
                <w:szCs w:val="21"/>
              </w:rPr>
            </w:pPr>
            <w:r>
              <w:rPr>
                <w:rFonts w:hint="eastAsia" w:ascii="方正黑体_GBK" w:hAnsi="方正黑体_GBK" w:eastAsia="方正黑体_GBK" w:cs="方正黑体_GBK"/>
                <w:b w:val="0"/>
                <w:bCs w:val="0"/>
                <w:color w:val="auto"/>
                <w:spacing w:val="-11"/>
                <w:kern w:val="0"/>
                <w:sz w:val="21"/>
                <w:szCs w:val="21"/>
              </w:rPr>
              <w:t>自治区湿地公园拟建区（4</w:t>
            </w:r>
            <w:r>
              <w:rPr>
                <w:rFonts w:hint="eastAsia" w:ascii="方正黑体_GBK" w:hAnsi="方正黑体_GBK" w:eastAsia="方正黑体_GBK" w:cs="方正黑体_GBK"/>
                <w:b w:val="0"/>
                <w:bCs w:val="0"/>
                <w:color w:val="auto"/>
                <w:kern w:val="0"/>
                <w:sz w:val="21"/>
                <w:szCs w:val="21"/>
              </w:rPr>
              <w:t>）</w:t>
            </w:r>
          </w:p>
        </w:tc>
        <w:tc>
          <w:tcPr>
            <w:tcW w:w="1500"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方正黑体_GBK" w:hAnsi="方正黑体_GBK" w:eastAsia="方正黑体_GBK" w:cs="方正黑体_GBK"/>
                <w:b w:val="0"/>
                <w:bCs w:val="0"/>
                <w:color w:val="auto"/>
                <w:spacing w:val="-17"/>
                <w:kern w:val="0"/>
                <w:sz w:val="21"/>
                <w:szCs w:val="21"/>
              </w:rPr>
            </w:pPr>
            <w:r>
              <w:rPr>
                <w:rFonts w:hint="eastAsia" w:ascii="方正黑体_GBK" w:hAnsi="方正黑体_GBK" w:eastAsia="方正黑体_GBK" w:cs="方正黑体_GBK"/>
                <w:b w:val="0"/>
                <w:bCs w:val="0"/>
                <w:color w:val="auto"/>
                <w:spacing w:val="-11"/>
                <w:kern w:val="0"/>
                <w:sz w:val="21"/>
                <w:szCs w:val="21"/>
              </w:rPr>
              <w:t>湿地类型自治</w:t>
            </w:r>
            <w:r>
              <w:rPr>
                <w:rFonts w:hint="eastAsia" w:ascii="方正黑体_GBK" w:hAnsi="方正黑体_GBK" w:eastAsia="方正黑体_GBK" w:cs="方正黑体_GBK"/>
                <w:b w:val="0"/>
                <w:bCs w:val="0"/>
                <w:color w:val="auto"/>
                <w:spacing w:val="-17"/>
                <w:kern w:val="0"/>
                <w:sz w:val="21"/>
                <w:szCs w:val="21"/>
              </w:rPr>
              <w:t>区级自然保护区</w:t>
            </w:r>
          </w:p>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方正黑体_GBK" w:hAnsi="方正黑体_GBK" w:eastAsia="方正黑体_GBK" w:cs="方正黑体_GBK"/>
                <w:b w:val="0"/>
                <w:bCs w:val="0"/>
                <w:color w:val="auto"/>
                <w:kern w:val="0"/>
                <w:sz w:val="21"/>
                <w:szCs w:val="21"/>
              </w:rPr>
            </w:pPr>
            <w:r>
              <w:rPr>
                <w:rFonts w:hint="eastAsia" w:ascii="方正黑体_GBK" w:hAnsi="方正黑体_GBK" w:eastAsia="方正黑体_GBK" w:cs="方正黑体_GBK"/>
                <w:b w:val="0"/>
                <w:bCs w:val="0"/>
                <w:color w:val="auto"/>
                <w:kern w:val="0"/>
                <w:sz w:val="21"/>
                <w:szCs w:val="21"/>
              </w:rPr>
              <w:t>拟建区（1）</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1302" w:hRule="exact"/>
          <w:jc w:val="center"/>
        </w:trPr>
        <w:tc>
          <w:tcPr>
            <w:tcW w:w="1543"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嫩江与额尔古纳河湿地生态保护恢复区</w:t>
            </w:r>
          </w:p>
        </w:tc>
        <w:tc>
          <w:tcPr>
            <w:tcW w:w="3535"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24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内蒙古克一河自治区湿地公园、内蒙古吉文布苏里自治区湿地公园、内蒙古阿木珠苏自治区湿地公园、内蒙古乌尔旗汗大雁河自治区湿地公园、内蒙古敖鲁古雅自治区湿地公园</w:t>
            </w:r>
          </w:p>
        </w:tc>
        <w:tc>
          <w:tcPr>
            <w:tcW w:w="2446"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1218" w:firstLineChars="58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1500"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834" w:hRule="exact"/>
          <w:jc w:val="center"/>
        </w:trPr>
        <w:tc>
          <w:tcPr>
            <w:tcW w:w="1543"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西辽河湿地生态保护修复区</w:t>
            </w:r>
          </w:p>
        </w:tc>
        <w:tc>
          <w:tcPr>
            <w:tcW w:w="3535"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内蒙古科尔沁左翼中旗科尔沁自治区湿地公园</w:t>
            </w:r>
          </w:p>
        </w:tc>
        <w:tc>
          <w:tcPr>
            <w:tcW w:w="2446"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26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spacing w:val="-11"/>
                <w:kern w:val="0"/>
                <w:sz w:val="21"/>
                <w:szCs w:val="21"/>
              </w:rPr>
              <w:t>西拉木伦河巴林右旗段自治区湿地公园、西拉木伦河翁牛特旗自治区湿</w:t>
            </w:r>
            <w:r>
              <w:rPr>
                <w:rFonts w:hint="eastAsia" w:ascii="宋体" w:hAnsi="宋体" w:eastAsia="宋体" w:cs="宋体"/>
                <w:b w:val="0"/>
                <w:bCs w:val="0"/>
                <w:color w:val="auto"/>
                <w:kern w:val="0"/>
                <w:sz w:val="21"/>
                <w:szCs w:val="21"/>
              </w:rPr>
              <w:t>地公园</w:t>
            </w:r>
          </w:p>
        </w:tc>
        <w:tc>
          <w:tcPr>
            <w:tcW w:w="1500"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647" w:hRule="exact"/>
          <w:jc w:val="center"/>
        </w:trPr>
        <w:tc>
          <w:tcPr>
            <w:tcW w:w="1543"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pacing w:val="-11"/>
                <w:kern w:val="0"/>
                <w:sz w:val="21"/>
                <w:szCs w:val="21"/>
              </w:rPr>
            </w:pPr>
            <w:r>
              <w:rPr>
                <w:rFonts w:hint="eastAsia" w:ascii="宋体" w:hAnsi="宋体" w:eastAsia="宋体" w:cs="宋体"/>
                <w:b w:val="0"/>
                <w:bCs w:val="0"/>
                <w:color w:val="auto"/>
                <w:spacing w:val="-11"/>
                <w:kern w:val="0"/>
                <w:sz w:val="21"/>
                <w:szCs w:val="21"/>
              </w:rPr>
              <w:t>滦河与永定河湿地生态保护区</w:t>
            </w:r>
          </w:p>
        </w:tc>
        <w:tc>
          <w:tcPr>
            <w:tcW w:w="3535"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174" w:firstLineChars="83"/>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2446"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1500"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731" w:hRule="exact"/>
          <w:jc w:val="center"/>
        </w:trPr>
        <w:tc>
          <w:tcPr>
            <w:tcW w:w="1543"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黄河湿地重点生态区</w:t>
            </w:r>
          </w:p>
        </w:tc>
        <w:tc>
          <w:tcPr>
            <w:tcW w:w="3535"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spacing w:val="-6"/>
                <w:kern w:val="0"/>
                <w:sz w:val="21"/>
                <w:szCs w:val="21"/>
              </w:rPr>
              <w:t>内蒙古杭锦后旗屠申泽自治区湿地公园、内蒙古临河镜湖自治区湿地公园</w:t>
            </w:r>
          </w:p>
        </w:tc>
        <w:tc>
          <w:tcPr>
            <w:tcW w:w="2446"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c>
          <w:tcPr>
            <w:tcW w:w="1500"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833" w:hRule="exact"/>
          <w:jc w:val="center"/>
        </w:trPr>
        <w:tc>
          <w:tcPr>
            <w:tcW w:w="1543"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内流河湿地生态保护修复区</w:t>
            </w:r>
          </w:p>
        </w:tc>
        <w:tc>
          <w:tcPr>
            <w:tcW w:w="3535"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内蒙古牧羊海自治区湿地公园、内蒙古商都察汗淖尔自治区湿地公园</w:t>
            </w:r>
          </w:p>
        </w:tc>
        <w:tc>
          <w:tcPr>
            <w:tcW w:w="2446" w:type="dxa"/>
            <w:tcBorders>
              <w:tl2br w:val="nil"/>
              <w:tr2bl w:val="nil"/>
            </w:tcBorders>
            <w:noWrap/>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24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白音敖包自治区湿地公园、乌拉特后旗查干高勒自治区湿地公园</w:t>
            </w:r>
          </w:p>
        </w:tc>
        <w:tc>
          <w:tcPr>
            <w:tcW w:w="1500" w:type="dxa"/>
            <w:tcBorders>
              <w:tl2br w:val="nil"/>
              <w:tr2bl w:val="nil"/>
            </w:tcBorders>
            <w:noWrap w:val="0"/>
            <w:tcMar>
              <w:left w:w="113" w:type="dxa"/>
              <w:right w:w="113" w:type="dxa"/>
            </w:tcMar>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内蒙古腾格淖尔自然保护区</w:t>
            </w:r>
          </w:p>
        </w:tc>
      </w:tr>
    </w:tbl>
    <w:p>
      <w:pPr>
        <w:pStyle w:val="24"/>
        <w:keepNext w:val="0"/>
        <w:keepLines w:val="0"/>
        <w:pageBreakBefore w:val="0"/>
        <w:widowControl w:val="0"/>
        <w:kinsoku/>
        <w:wordWrap/>
        <w:overflowPunct/>
        <w:topLinePunct/>
        <w:autoSpaceDE/>
        <w:autoSpaceDN/>
        <w:bidi w:val="0"/>
        <w:adjustRightInd/>
        <w:snapToGrid w:val="0"/>
        <w:spacing w:line="800" w:lineRule="exact"/>
        <w:ind w:left="0" w:leftChars="0" w:firstLine="0" w:firstLineChars="0"/>
        <w:jc w:val="center"/>
        <w:textAlignment w:val="auto"/>
        <w:rPr>
          <w:rFonts w:hint="eastAsia" w:ascii="方正黑体_GBK" w:hAnsi="方正黑体_GBK" w:eastAsia="方正黑体_GBK" w:cs="方正黑体_GBK"/>
          <w:b w:val="0"/>
          <w:bCs w:val="0"/>
          <w:color w:val="auto"/>
          <w:kern w:val="0"/>
          <w:sz w:val="30"/>
          <w:szCs w:val="30"/>
        </w:rPr>
      </w:pPr>
      <w:r>
        <w:rPr>
          <w:rFonts w:hint="eastAsia" w:ascii="方正黑体_GBK" w:hAnsi="方正黑体_GBK" w:eastAsia="方正黑体_GBK" w:cs="方正黑体_GBK"/>
          <w:b w:val="0"/>
          <w:bCs w:val="0"/>
          <w:color w:val="auto"/>
          <w:kern w:val="0"/>
          <w:sz w:val="30"/>
          <w:szCs w:val="30"/>
        </w:rPr>
        <w:t>表4-5</w:t>
      </w:r>
      <w:r>
        <w:rPr>
          <w:rFonts w:hint="eastAsia" w:ascii="方正黑体_GBK" w:hAnsi="方正黑体_GBK" w:eastAsia="方正黑体_GBK" w:cs="方正黑体_GBK"/>
          <w:b w:val="0"/>
          <w:bCs w:val="0"/>
          <w:color w:val="auto"/>
          <w:kern w:val="0"/>
          <w:sz w:val="30"/>
          <w:szCs w:val="30"/>
          <w:lang w:val="en-US" w:eastAsia="zh-CN"/>
        </w:rPr>
        <w:t xml:space="preserve">  </w:t>
      </w:r>
      <w:r>
        <w:rPr>
          <w:rFonts w:hint="eastAsia" w:ascii="方正黑体_GBK" w:hAnsi="方正黑体_GBK" w:eastAsia="方正黑体_GBK" w:cs="方正黑体_GBK"/>
          <w:b w:val="0"/>
          <w:bCs w:val="0"/>
          <w:color w:val="auto"/>
          <w:kern w:val="0"/>
          <w:sz w:val="30"/>
          <w:szCs w:val="30"/>
        </w:rPr>
        <w:t>自治区湿地公园分区布局名录</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bookmarkStart w:id="36" w:name="_Toc149727795"/>
      <w:r>
        <w:rPr>
          <w:rFonts w:hint="eastAsia" w:ascii="方正楷体_GBK" w:hAnsi="方正楷体_GBK" w:eastAsia="方正楷体_GBK" w:cs="方正楷体_GBK"/>
          <w:b w:val="0"/>
          <w:bCs w:val="0"/>
          <w:color w:val="auto"/>
          <w:sz w:val="32"/>
          <w:szCs w:val="32"/>
        </w:rPr>
        <w:t>第四节</w:t>
      </w:r>
      <w:bookmarkStart w:id="37" w:name="_Hlk58570452"/>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 xml:space="preserve"> </w:t>
      </w:r>
      <w:bookmarkEnd w:id="37"/>
      <w:r>
        <w:rPr>
          <w:rFonts w:hint="eastAsia" w:ascii="方正楷体_GBK" w:hAnsi="方正楷体_GBK" w:eastAsia="方正楷体_GBK" w:cs="方正楷体_GBK"/>
          <w:b w:val="0"/>
          <w:bCs w:val="0"/>
          <w:color w:val="auto"/>
          <w:sz w:val="32"/>
          <w:szCs w:val="32"/>
        </w:rPr>
        <w:t>实施保护修复工程</w:t>
      </w:r>
      <w:bookmarkEnd w:id="36"/>
    </w:p>
    <w:p>
      <w:pPr>
        <w:pStyle w:val="24"/>
        <w:keepNext w:val="0"/>
        <w:keepLines w:val="0"/>
        <w:pageBreakBefore w:val="0"/>
        <w:widowControl w:val="0"/>
        <w:kinsoku/>
        <w:wordWrap/>
        <w:overflowPunct/>
        <w:topLinePunct/>
        <w:autoSpaceDE/>
        <w:autoSpaceDN/>
        <w:bidi w:val="0"/>
        <w:adjustRightInd/>
        <w:spacing w:line="580" w:lineRule="exact"/>
        <w:ind w:left="0" w:leftChars="0" w:firstLine="640" w:firstLineChars="200"/>
        <w:jc w:val="both"/>
        <w:textAlignment w:val="auto"/>
        <w:rPr>
          <w:rFonts w:hint="eastAsia" w:ascii="方正楷体_GBK" w:hAnsi="方正楷体_GBK" w:eastAsia="方正楷体_GBK" w:cs="方正楷体_GBK"/>
          <w:color w:val="auto"/>
          <w:sz w:val="32"/>
          <w:szCs w:val="32"/>
        </w:rPr>
      </w:pPr>
      <w:r>
        <w:rPr>
          <w:rFonts w:hint="eastAsia" w:ascii="方正仿宋_GBK" w:hAnsi="方正仿宋_GBK" w:eastAsia="方正仿宋_GBK" w:cs="方正仿宋_GBK"/>
          <w:b w:val="0"/>
          <w:bCs w:val="0"/>
          <w:color w:val="auto"/>
          <w:sz w:val="32"/>
          <w:szCs w:val="32"/>
        </w:rPr>
        <w:t>在国家重要湿地（含国际重要湿地）以及生态区位重要的国家湿地公园、自治区级以上（含自治区级）湿地自然保护区及湿地公园，实施湿地保护与修复（恢复），巩固、提高湿地保护体系的保护与修复（恢复）成效，改善湿地生态状况，增强湿地生态功能，维护湿地生态系统的健康。</w:t>
      </w:r>
    </w:p>
    <w:p>
      <w:pPr>
        <w:pStyle w:val="24"/>
        <w:keepNext w:val="0"/>
        <w:keepLines w:val="0"/>
        <w:pageBreakBefore w:val="0"/>
        <w:widowControl w:val="0"/>
        <w:kinsoku/>
        <w:wordWrap/>
        <w:overflowPunct/>
        <w:topLinePunct/>
        <w:autoSpaceDE/>
        <w:autoSpaceDN/>
        <w:bidi w:val="0"/>
        <w:adjustRightInd/>
        <w:spacing w:line="580" w:lineRule="exact"/>
        <w:ind w:firstLine="640" w:firstLineChars="200"/>
        <w:jc w:val="both"/>
        <w:textAlignment w:val="auto"/>
        <w:rPr>
          <w:rFonts w:hint="eastAsia" w:ascii="方正仿宋_GBK" w:hAnsi="方正仿宋_GBK" w:eastAsia="方正仿宋_GBK" w:cs="方正仿宋_GBK"/>
          <w:b w:val="0"/>
          <w:bCs w:val="0"/>
          <w:color w:val="auto"/>
          <w:sz w:val="32"/>
          <w:szCs w:val="32"/>
          <w:lang w:eastAsia="zh-CN"/>
        </w:rPr>
      </w:pPr>
      <w:r>
        <w:rPr>
          <w:rFonts w:hint="eastAsia" w:ascii="方正仿宋_GBK" w:hAnsi="方正仿宋_GBK" w:eastAsia="方正仿宋_GBK" w:cs="方正仿宋_GBK"/>
          <w:b w:val="0"/>
          <w:bCs w:val="0"/>
          <w:color w:val="auto"/>
          <w:sz w:val="32"/>
          <w:szCs w:val="32"/>
          <w:lang w:val="en-US" w:eastAsia="zh-CN"/>
        </w:rPr>
        <w:t>1.</w:t>
      </w:r>
      <w:r>
        <w:rPr>
          <w:rFonts w:hint="eastAsia" w:ascii="方正仿宋_GBK" w:hAnsi="方正仿宋_GBK" w:eastAsia="方正仿宋_GBK" w:cs="方正仿宋_GBK"/>
          <w:b w:val="0"/>
          <w:bCs w:val="0"/>
          <w:color w:val="auto"/>
          <w:sz w:val="32"/>
          <w:szCs w:val="32"/>
        </w:rPr>
        <w:t>湿地保护</w:t>
      </w:r>
      <w:r>
        <w:rPr>
          <w:rFonts w:hint="eastAsia" w:ascii="方正仿宋_GBK" w:hAnsi="方正仿宋_GBK" w:eastAsia="方正仿宋_GBK" w:cs="方正仿宋_GBK"/>
          <w:b w:val="0"/>
          <w:bCs w:val="0"/>
          <w:color w:val="auto"/>
          <w:sz w:val="32"/>
          <w:szCs w:val="32"/>
          <w:lang w:eastAsia="zh-CN"/>
        </w:rPr>
        <w:t>。</w:t>
      </w:r>
    </w:p>
    <w:p>
      <w:pPr>
        <w:pStyle w:val="24"/>
        <w:keepNext w:val="0"/>
        <w:keepLines w:val="0"/>
        <w:pageBreakBefore w:val="0"/>
        <w:widowControl w:val="0"/>
        <w:kinsoku/>
        <w:wordWrap/>
        <w:overflowPunct/>
        <w:topLinePunct/>
        <w:autoSpaceDE/>
        <w:autoSpaceDN/>
        <w:bidi w:val="0"/>
        <w:adjustRightInd/>
        <w:spacing w:line="580" w:lineRule="exact"/>
        <w:ind w:left="0" w:leftChars="0" w:firstLine="640" w:firstLineChars="200"/>
        <w:jc w:val="both"/>
        <w:textAlignment w:val="auto"/>
        <w:rPr>
          <w:rFonts w:hint="eastAsia" w:ascii="方正楷体_GBK" w:hAnsi="方正楷体_GBK" w:eastAsia="方正楷体_GBK" w:cs="方正楷体_GBK"/>
          <w:color w:val="auto"/>
          <w:sz w:val="32"/>
          <w:szCs w:val="32"/>
        </w:rPr>
      </w:pPr>
      <w:r>
        <w:rPr>
          <w:rFonts w:hint="eastAsia" w:ascii="方正仿宋_GBK" w:hAnsi="方正仿宋_GBK" w:eastAsia="方正仿宋_GBK" w:cs="方正仿宋_GBK"/>
          <w:b w:val="0"/>
          <w:bCs w:val="0"/>
          <w:color w:val="auto"/>
          <w:sz w:val="32"/>
          <w:szCs w:val="32"/>
          <w:lang w:eastAsia="zh-CN"/>
        </w:rPr>
        <w:t>加强</w:t>
      </w:r>
      <w:r>
        <w:rPr>
          <w:rFonts w:hint="eastAsia" w:ascii="方正仿宋_GBK" w:hAnsi="方正仿宋_GBK" w:eastAsia="方正仿宋_GBK" w:cs="方正仿宋_GBK"/>
          <w:b w:val="0"/>
          <w:bCs w:val="0"/>
          <w:color w:val="auto"/>
          <w:sz w:val="32"/>
          <w:szCs w:val="32"/>
        </w:rPr>
        <w:t>生态红线内湿地保护</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内蒙古生态保护红线内湿地面积315.08万公顷，占</w:t>
      </w:r>
      <w:r>
        <w:rPr>
          <w:rFonts w:hint="eastAsia" w:ascii="方正仿宋_GBK" w:hAnsi="方正仿宋_GBK" w:eastAsia="方正仿宋_GBK" w:cs="方正仿宋_GBK"/>
          <w:b w:val="0"/>
          <w:bCs w:val="0"/>
          <w:color w:val="auto"/>
          <w:sz w:val="32"/>
          <w:szCs w:val="32"/>
          <w:lang w:eastAsia="zh-CN"/>
        </w:rPr>
        <w:t>全区</w:t>
      </w:r>
      <w:r>
        <w:rPr>
          <w:rFonts w:hint="eastAsia" w:ascii="方正仿宋_GBK" w:hAnsi="方正仿宋_GBK" w:eastAsia="方正仿宋_GBK" w:cs="方正仿宋_GBK"/>
          <w:b w:val="0"/>
          <w:bCs w:val="0"/>
          <w:color w:val="auto"/>
          <w:sz w:val="32"/>
          <w:szCs w:val="32"/>
        </w:rPr>
        <w:t>湿地总面积的64.89%，</w:t>
      </w:r>
      <w:r>
        <w:rPr>
          <w:rFonts w:hint="eastAsia" w:ascii="方正仿宋_GBK" w:hAnsi="方正仿宋_GBK" w:eastAsia="方正仿宋_GBK" w:cs="方正仿宋_GBK"/>
          <w:b w:val="0"/>
          <w:bCs w:val="0"/>
          <w:color w:val="auto"/>
          <w:sz w:val="32"/>
          <w:szCs w:val="32"/>
          <w:lang w:eastAsia="zh-CN"/>
        </w:rPr>
        <w:t>要严格</w:t>
      </w:r>
      <w:r>
        <w:rPr>
          <w:rFonts w:hint="eastAsia" w:ascii="方正仿宋_GBK" w:hAnsi="方正仿宋_GBK" w:eastAsia="方正仿宋_GBK" w:cs="方正仿宋_GBK"/>
          <w:b w:val="0"/>
          <w:bCs w:val="0"/>
          <w:color w:val="auto"/>
          <w:sz w:val="32"/>
          <w:szCs w:val="32"/>
        </w:rPr>
        <w:t>按</w:t>
      </w:r>
      <w:r>
        <w:rPr>
          <w:rFonts w:hint="eastAsia" w:ascii="方正仿宋_GBK" w:hAnsi="方正仿宋_GBK" w:eastAsia="方正仿宋_GBK" w:cs="方正仿宋_GBK"/>
          <w:b w:val="0"/>
          <w:bCs w:val="0"/>
          <w:color w:val="auto"/>
          <w:sz w:val="32"/>
          <w:szCs w:val="32"/>
          <w:lang w:eastAsia="zh-CN"/>
        </w:rPr>
        <w:t>照</w:t>
      </w:r>
      <w:r>
        <w:rPr>
          <w:rFonts w:hint="eastAsia" w:ascii="方正仿宋_GBK" w:hAnsi="方正仿宋_GBK" w:eastAsia="方正仿宋_GBK" w:cs="方正仿宋_GBK"/>
          <w:b w:val="0"/>
          <w:bCs w:val="0"/>
          <w:color w:val="auto"/>
          <w:sz w:val="32"/>
          <w:szCs w:val="32"/>
        </w:rPr>
        <w:t>《中华人民共和国湿地保护法》、《自然资源部</w:t>
      </w:r>
      <w:r>
        <w:rPr>
          <w:rFonts w:hint="eastAsia" w:ascii="方正仿宋_GBK" w:hAnsi="方正仿宋_GBK" w:eastAsia="方正仿宋_GBK" w:cs="方正仿宋_GBK"/>
          <w:b w:val="0"/>
          <w:bCs w:val="0"/>
          <w:color w:val="auto"/>
          <w:sz w:val="32"/>
          <w:szCs w:val="32"/>
          <w:lang w:val="en-US" w:eastAsia="zh-CN"/>
        </w:rPr>
        <w:t xml:space="preserve"> </w:t>
      </w:r>
      <w:r>
        <w:rPr>
          <w:rFonts w:hint="eastAsia" w:ascii="方正仿宋_GBK" w:hAnsi="方正仿宋_GBK" w:eastAsia="方正仿宋_GBK" w:cs="方正仿宋_GBK"/>
          <w:b w:val="0"/>
          <w:bCs w:val="0"/>
          <w:color w:val="auto"/>
          <w:sz w:val="32"/>
          <w:szCs w:val="32"/>
        </w:rPr>
        <w:t xml:space="preserve"> 生态环境部 </w:t>
      </w:r>
      <w:r>
        <w:rPr>
          <w:rFonts w:hint="eastAsia" w:ascii="方正仿宋_GBK" w:hAnsi="方正仿宋_GBK" w:eastAsia="方正仿宋_GBK" w:cs="方正仿宋_GBK"/>
          <w:b w:val="0"/>
          <w:bCs w:val="0"/>
          <w:color w:val="auto"/>
          <w:sz w:val="32"/>
          <w:szCs w:val="32"/>
          <w:lang w:val="en-US" w:eastAsia="zh-CN"/>
        </w:rPr>
        <w:t xml:space="preserve"> </w:t>
      </w:r>
      <w:r>
        <w:rPr>
          <w:rFonts w:hint="eastAsia" w:ascii="方正仿宋_GBK" w:hAnsi="方正仿宋_GBK" w:eastAsia="方正仿宋_GBK" w:cs="方正仿宋_GBK"/>
          <w:b w:val="0"/>
          <w:bCs w:val="0"/>
          <w:color w:val="auto"/>
          <w:sz w:val="32"/>
          <w:szCs w:val="32"/>
        </w:rPr>
        <w:t>国家林业和草原局关于加强生态保护红线管理的通知（试行）》</w:t>
      </w:r>
      <w:r>
        <w:rPr>
          <w:rFonts w:hint="eastAsia" w:ascii="方正仿宋_GBK" w:hAnsi="方正仿宋_GBK" w:eastAsia="方正仿宋_GBK" w:cs="方正仿宋_GBK"/>
          <w:b w:val="0"/>
          <w:bCs w:val="0"/>
          <w:color w:val="auto"/>
          <w:sz w:val="32"/>
          <w:szCs w:val="32"/>
          <w:lang w:eastAsia="zh-CN"/>
        </w:rPr>
        <w:t>（自然资发〔</w:t>
      </w:r>
      <w:r>
        <w:rPr>
          <w:rFonts w:hint="eastAsia" w:ascii="方正仿宋_GBK" w:hAnsi="方正仿宋_GBK" w:eastAsia="方正仿宋_GBK" w:cs="方正仿宋_GBK"/>
          <w:b w:val="0"/>
          <w:bCs w:val="0"/>
          <w:color w:val="auto"/>
          <w:sz w:val="32"/>
          <w:szCs w:val="32"/>
          <w:lang w:val="en-US" w:eastAsia="zh-CN"/>
        </w:rPr>
        <w:t>2022</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lang w:val="en-US" w:eastAsia="zh-CN"/>
        </w:rPr>
        <w:t>142号）</w:t>
      </w:r>
      <w:r>
        <w:rPr>
          <w:rFonts w:hint="eastAsia" w:ascii="方正仿宋_GBK" w:hAnsi="方正仿宋_GBK" w:eastAsia="方正仿宋_GBK" w:cs="方正仿宋_GBK"/>
          <w:b w:val="0"/>
          <w:bCs w:val="0"/>
          <w:color w:val="auto"/>
          <w:sz w:val="32"/>
          <w:szCs w:val="32"/>
        </w:rPr>
        <w:t>等</w:t>
      </w:r>
      <w:r>
        <w:rPr>
          <w:rFonts w:hint="eastAsia" w:ascii="方正仿宋_GBK" w:hAnsi="方正仿宋_GBK" w:eastAsia="方正仿宋_GBK" w:cs="方正仿宋_GBK"/>
          <w:b w:val="0"/>
          <w:bCs w:val="0"/>
          <w:color w:val="auto"/>
          <w:sz w:val="32"/>
          <w:szCs w:val="32"/>
          <w:lang w:eastAsia="zh-CN"/>
        </w:rPr>
        <w:t>法律、文件和规定要求</w:t>
      </w:r>
      <w:r>
        <w:rPr>
          <w:rFonts w:hint="eastAsia" w:ascii="方正仿宋_GBK" w:hAnsi="方正仿宋_GBK" w:eastAsia="方正仿宋_GBK" w:cs="方正仿宋_GBK"/>
          <w:b w:val="0"/>
          <w:bCs w:val="0"/>
          <w:color w:val="auto"/>
          <w:sz w:val="32"/>
          <w:szCs w:val="32"/>
        </w:rPr>
        <w:t>进行管控，严禁不符合主体功能定位的各类开发活动，</w:t>
      </w:r>
      <w:r>
        <w:rPr>
          <w:rFonts w:hint="eastAsia" w:ascii="方正仿宋_GBK" w:hAnsi="方正仿宋_GBK" w:eastAsia="方正仿宋_GBK" w:cs="方正仿宋_GBK"/>
          <w:b w:val="0"/>
          <w:bCs w:val="0"/>
          <w:color w:val="auto"/>
          <w:sz w:val="32"/>
          <w:szCs w:val="32"/>
          <w:lang w:eastAsia="zh-CN"/>
        </w:rPr>
        <w:t>对</w:t>
      </w:r>
      <w:r>
        <w:rPr>
          <w:rFonts w:hint="eastAsia" w:ascii="方正仿宋_GBK" w:hAnsi="方正仿宋_GBK" w:eastAsia="方正仿宋_GBK" w:cs="方正仿宋_GBK"/>
          <w:b w:val="0"/>
          <w:bCs w:val="0"/>
          <w:color w:val="auto"/>
          <w:sz w:val="32"/>
          <w:szCs w:val="32"/>
        </w:rPr>
        <w:t>尚未纳入重要湿地</w:t>
      </w:r>
      <w:r>
        <w:rPr>
          <w:rFonts w:hint="eastAsia" w:ascii="方正仿宋_GBK" w:hAnsi="方正仿宋_GBK" w:eastAsia="方正仿宋_GBK" w:cs="方正仿宋_GBK"/>
          <w:b w:val="0"/>
          <w:bCs w:val="0"/>
          <w:color w:val="auto"/>
          <w:sz w:val="32"/>
          <w:szCs w:val="32"/>
          <w:lang w:eastAsia="zh-CN"/>
        </w:rPr>
        <w:t>的</w:t>
      </w:r>
      <w:r>
        <w:rPr>
          <w:rFonts w:hint="eastAsia" w:ascii="方正仿宋_GBK" w:hAnsi="方正仿宋_GBK" w:eastAsia="方正仿宋_GBK" w:cs="方正仿宋_GBK"/>
          <w:b w:val="0"/>
          <w:bCs w:val="0"/>
          <w:color w:val="auto"/>
          <w:sz w:val="32"/>
          <w:szCs w:val="32"/>
        </w:rPr>
        <w:t>区域开展生态功能重要性、生物多样性等方面评价，推进重要湿地认定和名录公布。生态保护红线外湿地严格</w:t>
      </w:r>
      <w:r>
        <w:rPr>
          <w:rFonts w:hint="eastAsia" w:ascii="方正仿宋_GBK" w:hAnsi="方正仿宋_GBK" w:eastAsia="方正仿宋_GBK" w:cs="方正仿宋_GBK"/>
          <w:b w:val="0"/>
          <w:bCs w:val="0"/>
          <w:color w:val="auto"/>
          <w:sz w:val="32"/>
          <w:szCs w:val="32"/>
          <w:lang w:eastAsia="zh-CN"/>
        </w:rPr>
        <w:t>落实</w:t>
      </w:r>
      <w:r>
        <w:rPr>
          <w:rFonts w:hint="eastAsia" w:ascii="方正仿宋_GBK" w:hAnsi="方正仿宋_GBK" w:eastAsia="方正仿宋_GBK" w:cs="方正仿宋_GBK"/>
          <w:b w:val="0"/>
          <w:bCs w:val="0"/>
          <w:color w:val="auto"/>
          <w:sz w:val="32"/>
          <w:szCs w:val="32"/>
        </w:rPr>
        <w:t>《中华人民共和国湿地保护法》等有关法律</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法规，进一步加强湿地资源监管，完善监管体系，细化管护制度。</w:t>
      </w:r>
    </w:p>
    <w:p>
      <w:pPr>
        <w:pStyle w:val="24"/>
        <w:keepNext w:val="0"/>
        <w:keepLines w:val="0"/>
        <w:pageBreakBefore w:val="0"/>
        <w:widowControl w:val="0"/>
        <w:kinsoku/>
        <w:wordWrap/>
        <w:overflowPunct/>
        <w:topLinePunct/>
        <w:autoSpaceDE/>
        <w:autoSpaceDN/>
        <w:bidi w:val="0"/>
        <w:adjustRightInd/>
        <w:spacing w:line="580" w:lineRule="exact"/>
        <w:ind w:left="0" w:leftChars="0" w:firstLine="640" w:firstLineChars="200"/>
        <w:jc w:val="both"/>
        <w:textAlignment w:val="auto"/>
        <w:rPr>
          <w:rFonts w:hint="eastAsia" w:ascii="方正楷体_GBK" w:hAnsi="方正楷体_GBK" w:eastAsia="方正楷体_GBK" w:cs="方正楷体_GBK"/>
          <w:color w:val="auto"/>
          <w:sz w:val="32"/>
          <w:szCs w:val="32"/>
        </w:rPr>
      </w:pPr>
      <w:r>
        <w:rPr>
          <w:rFonts w:hint="eastAsia" w:ascii="方正仿宋_GBK" w:hAnsi="方正仿宋_GBK" w:eastAsia="方正仿宋_GBK" w:cs="方正仿宋_GBK"/>
          <w:b w:val="0"/>
          <w:bCs w:val="0"/>
          <w:color w:val="auto"/>
          <w:sz w:val="32"/>
          <w:szCs w:val="32"/>
        </w:rPr>
        <w:t>加强保护管理能力建设</w:t>
      </w:r>
      <w:r>
        <w:rPr>
          <w:rFonts w:hint="eastAsia" w:ascii="方正仿宋_GBK" w:hAnsi="方正仿宋_GBK" w:eastAsia="方正仿宋_GBK" w:cs="方正仿宋_GBK"/>
          <w:b w:val="0"/>
          <w:bCs w:val="0"/>
          <w:color w:val="auto"/>
          <w:sz w:val="32"/>
          <w:szCs w:val="32"/>
          <w:lang w:eastAsia="zh-CN"/>
        </w:rPr>
        <w:t>。支持和鼓励</w:t>
      </w:r>
      <w:r>
        <w:rPr>
          <w:rFonts w:hint="eastAsia" w:ascii="方正仿宋_GBK" w:hAnsi="方正仿宋_GBK" w:eastAsia="方正仿宋_GBK" w:cs="方正仿宋_GBK"/>
          <w:b w:val="0"/>
          <w:bCs w:val="0"/>
          <w:color w:val="auto"/>
          <w:sz w:val="32"/>
          <w:szCs w:val="32"/>
        </w:rPr>
        <w:t>盟市湿地主管部门多渠道争取资金，开展保护管理局（站、点）设施维护和巡护设施设备购置；完善科普宣教区（馆）基础设施、配套设施设备；在靠近村镇、主要路口等人为活动较为频繁区域设立界碑、界桩、围栏、监控设施等，有效隔离外界的搅扰，降低人为干扰对湿地及其生物多样性的影响，严格禁止对湿地的围垦和人为破坏。建立健全湿地征占用审批制度，明确审批程序和标准，加</w:t>
      </w:r>
      <w:r>
        <w:rPr>
          <w:rFonts w:hint="eastAsia" w:ascii="方正仿宋_GBK" w:hAnsi="方正仿宋_GBK" w:eastAsia="方正仿宋_GBK" w:cs="方正仿宋_GBK"/>
          <w:b w:val="0"/>
          <w:bCs w:val="0"/>
          <w:color w:val="auto"/>
          <w:sz w:val="32"/>
          <w:szCs w:val="32"/>
          <w:lang w:eastAsia="zh-CN"/>
        </w:rPr>
        <w:t>大</w:t>
      </w:r>
      <w:r>
        <w:rPr>
          <w:rFonts w:hint="eastAsia" w:ascii="方正仿宋_GBK" w:hAnsi="方正仿宋_GBK" w:eastAsia="方正仿宋_GBK" w:cs="方正仿宋_GBK"/>
          <w:b w:val="0"/>
          <w:bCs w:val="0"/>
          <w:color w:val="auto"/>
          <w:sz w:val="32"/>
          <w:szCs w:val="32"/>
        </w:rPr>
        <w:t>监管和执法力度，确保湿地资源的可持续利用和保护。</w:t>
      </w:r>
    </w:p>
    <w:p>
      <w:pPr>
        <w:pStyle w:val="24"/>
        <w:keepNext w:val="0"/>
        <w:keepLines w:val="0"/>
        <w:pageBreakBefore w:val="0"/>
        <w:widowControl w:val="0"/>
        <w:kinsoku/>
        <w:wordWrap/>
        <w:overflowPunct/>
        <w:topLinePunct/>
        <w:autoSpaceDE/>
        <w:autoSpaceDN/>
        <w:bidi w:val="0"/>
        <w:adjustRightInd/>
        <w:spacing w:line="580" w:lineRule="exact"/>
        <w:jc w:val="both"/>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强化湿地资源监测工作</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配合国家林草局开展全区林草湿</w:t>
      </w:r>
      <w:r>
        <w:rPr>
          <w:rFonts w:hint="eastAsia" w:ascii="方正仿宋_GBK" w:hAnsi="方正仿宋_GBK" w:eastAsia="方正仿宋_GBK" w:cs="方正仿宋_GBK"/>
          <w:b w:val="0"/>
          <w:bCs w:val="0"/>
          <w:color w:val="auto"/>
          <w:sz w:val="32"/>
          <w:szCs w:val="32"/>
          <w:lang w:eastAsia="zh-CN"/>
        </w:rPr>
        <w:t>地</w:t>
      </w:r>
      <w:r>
        <w:rPr>
          <w:rFonts w:hint="eastAsia" w:ascii="方正仿宋_GBK" w:hAnsi="方正仿宋_GBK" w:eastAsia="方正仿宋_GBK" w:cs="方正仿宋_GBK"/>
          <w:b w:val="0"/>
          <w:bCs w:val="0"/>
          <w:color w:val="auto"/>
          <w:sz w:val="32"/>
          <w:szCs w:val="32"/>
        </w:rPr>
        <w:t>综合监测工作，完成湿地固定监测样地432处和年度变化图斑监测。构建湿地生态监测体系，提高监测数据信息化水平，依托国家级、自治区级湿地自然保护区及国家湿地公园范围内建立</w:t>
      </w:r>
      <w:r>
        <w:rPr>
          <w:rFonts w:hint="eastAsia" w:ascii="方正仿宋_GBK" w:hAnsi="方正仿宋_GBK" w:eastAsia="方正仿宋_GBK" w:cs="方正仿宋_GBK"/>
          <w:b w:val="0"/>
          <w:bCs w:val="0"/>
          <w:color w:val="auto"/>
          <w:sz w:val="32"/>
          <w:szCs w:val="32"/>
          <w:lang w:eastAsia="zh-CN"/>
        </w:rPr>
        <w:t>的</w:t>
      </w:r>
      <w:r>
        <w:rPr>
          <w:rFonts w:hint="eastAsia" w:ascii="方正仿宋_GBK" w:hAnsi="方正仿宋_GBK" w:eastAsia="方正仿宋_GBK" w:cs="方正仿宋_GBK"/>
          <w:b w:val="0"/>
          <w:bCs w:val="0"/>
          <w:color w:val="auto"/>
          <w:sz w:val="32"/>
          <w:szCs w:val="32"/>
        </w:rPr>
        <w:t>湿地生态系统监测点、水文水质监测点、气象监测点、鸟类监测点、鸟类救护站、</w:t>
      </w:r>
      <w:r>
        <w:rPr>
          <w:rFonts w:hint="eastAsia" w:ascii="方正仿宋_GBK" w:hAnsi="方正仿宋_GBK" w:eastAsia="方正仿宋_GBK" w:cs="方正仿宋_GBK"/>
          <w:b w:val="0"/>
          <w:bCs w:val="0"/>
          <w:color w:val="auto"/>
          <w:sz w:val="32"/>
          <w:szCs w:val="32"/>
          <w:lang w:eastAsia="zh-CN"/>
        </w:rPr>
        <w:t>野生</w:t>
      </w:r>
      <w:r>
        <w:rPr>
          <w:rFonts w:hint="eastAsia" w:ascii="方正仿宋_GBK" w:hAnsi="方正仿宋_GBK" w:eastAsia="方正仿宋_GBK" w:cs="方正仿宋_GBK"/>
          <w:b w:val="0"/>
          <w:bCs w:val="0"/>
          <w:color w:val="auto"/>
          <w:sz w:val="32"/>
          <w:szCs w:val="32"/>
        </w:rPr>
        <w:t>动物疫源</w:t>
      </w:r>
      <w:r>
        <w:rPr>
          <w:rFonts w:hint="eastAsia" w:ascii="方正仿宋_GBK" w:hAnsi="方正仿宋_GBK" w:eastAsia="方正仿宋_GBK" w:cs="方正仿宋_GBK"/>
          <w:b w:val="0"/>
          <w:bCs w:val="0"/>
          <w:color w:val="auto"/>
          <w:sz w:val="32"/>
          <w:szCs w:val="32"/>
          <w:lang w:eastAsia="zh-CN"/>
        </w:rPr>
        <w:t>疫</w:t>
      </w:r>
      <w:r>
        <w:rPr>
          <w:rFonts w:hint="eastAsia" w:ascii="方正仿宋_GBK" w:hAnsi="方正仿宋_GBK" w:eastAsia="方正仿宋_GBK" w:cs="方正仿宋_GBK"/>
          <w:b w:val="0"/>
          <w:bCs w:val="0"/>
          <w:color w:val="auto"/>
          <w:sz w:val="32"/>
          <w:szCs w:val="32"/>
        </w:rPr>
        <w:t>病监测站等野外监测站点为一体的湿地资源监测体系，健全完备可视化监测系统，全面提升湿地生态监测能力。充分利用地理信息系统，采用“3S”、无人机巡航、红外相机拍摄等先进技术，结合实地调查，系统、详细地监测各种湿地类型的物种数量。开展重点水禽生物习性、种群数量、迁徙规律监测，候鸟、留鸟等鸟类对湿地生态的影响监测以及外来物种监测等湿地专项监测活动</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在重要湿地动态监测的基础上，对其生态状况进行评估，发布预警信息，同时加强</w:t>
      </w:r>
      <w:r>
        <w:rPr>
          <w:rFonts w:hint="eastAsia" w:ascii="方正仿宋_GBK" w:hAnsi="方正仿宋_GBK" w:eastAsia="方正仿宋_GBK" w:cs="方正仿宋_GBK"/>
          <w:b w:val="0"/>
          <w:bCs w:val="0"/>
          <w:color w:val="auto"/>
          <w:sz w:val="32"/>
          <w:szCs w:val="32"/>
          <w:lang w:eastAsia="zh-CN"/>
        </w:rPr>
        <w:t>对</w:t>
      </w:r>
      <w:r>
        <w:rPr>
          <w:rFonts w:hint="eastAsia" w:ascii="方正仿宋_GBK" w:hAnsi="方正仿宋_GBK" w:eastAsia="方正仿宋_GBK" w:cs="方正仿宋_GBK"/>
          <w:b w:val="0"/>
          <w:bCs w:val="0"/>
          <w:color w:val="auto"/>
          <w:sz w:val="32"/>
          <w:szCs w:val="32"/>
        </w:rPr>
        <w:t>一般湿地的监测。探索开展泥炭沼泽湿地监测，根据调查和监测数据进行综合分析和客观评价，为建立全区泥炭沼泽碳库资源数据库和管理信息平台提供统一完整的基础数据，为实现泥炭沼泽碳库资源科</w:t>
      </w:r>
      <w:r>
        <w:rPr>
          <w:rFonts w:hint="eastAsia" w:ascii="方正仿宋_GBK" w:hAnsi="方正仿宋_GBK" w:eastAsia="方正仿宋_GBK" w:cs="方正仿宋_GBK"/>
          <w:b w:val="0"/>
          <w:bCs w:val="0"/>
          <w:caps w:val="0"/>
          <w:smallCaps/>
          <w:color w:val="auto"/>
          <w:spacing w:val="-6"/>
          <w:sz w:val="32"/>
          <w:szCs w:val="32"/>
        </w:rPr>
        <w:t>学保护、管理和合理利用以及全区经济社会发展提供决策依据。探</w:t>
      </w:r>
      <w:r>
        <w:rPr>
          <w:rFonts w:hint="eastAsia" w:ascii="方正仿宋_GBK" w:hAnsi="方正仿宋_GBK" w:eastAsia="方正仿宋_GBK" w:cs="方正仿宋_GBK"/>
          <w:b w:val="0"/>
          <w:bCs w:val="0"/>
          <w:color w:val="auto"/>
          <w:sz w:val="32"/>
          <w:szCs w:val="32"/>
        </w:rPr>
        <w:t>索开展全民所有湿地自然资源资产所有权委托代理试点工作。</w:t>
      </w:r>
    </w:p>
    <w:p>
      <w:pPr>
        <w:pStyle w:val="24"/>
        <w:keepNext w:val="0"/>
        <w:keepLines w:val="0"/>
        <w:pageBreakBefore w:val="0"/>
        <w:widowControl w:val="0"/>
        <w:kinsoku/>
        <w:wordWrap/>
        <w:overflowPunct/>
        <w:topLinePunct/>
        <w:autoSpaceDE/>
        <w:autoSpaceDN/>
        <w:bidi w:val="0"/>
        <w:adjustRightInd/>
        <w:spacing w:line="580" w:lineRule="exact"/>
        <w:jc w:val="both"/>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强化湿地资源监管工作</w:t>
      </w:r>
      <w:r>
        <w:rPr>
          <w:rFonts w:hint="eastAsia" w:ascii="方正仿宋_GBK" w:hAnsi="方正仿宋_GBK" w:eastAsia="方正仿宋_GBK" w:cs="方正仿宋_GBK"/>
          <w:b w:val="0"/>
          <w:bCs w:val="0"/>
          <w:color w:val="auto"/>
          <w:sz w:val="32"/>
          <w:szCs w:val="32"/>
          <w:lang w:eastAsia="zh-CN"/>
        </w:rPr>
        <w:t>。加强</w:t>
      </w:r>
      <w:r>
        <w:rPr>
          <w:rFonts w:hint="eastAsia" w:ascii="方正仿宋_GBK" w:hAnsi="方正仿宋_GBK" w:eastAsia="方正仿宋_GBK" w:cs="方正仿宋_GBK"/>
          <w:b w:val="0"/>
          <w:bCs w:val="0"/>
          <w:color w:val="auto"/>
          <w:sz w:val="32"/>
          <w:szCs w:val="32"/>
        </w:rPr>
        <w:t>湿地资源日常监督管理工作，依法依规对湿地保护、修复、利用等活动进行监督检查，严厉查处破坏湿地的违法行为，对情节严重者追究其法律责任。加强重要湿地保护情况的监督检查，开展湿地保护约谈工作，对未能履行湿地保护责任的单位和责任人严肃追责问责。自治区将实行湿地保护目标责任制，将湿地保护纳入地方人民政府综合绩效</w:t>
      </w:r>
      <w:r>
        <w:rPr>
          <w:rFonts w:hint="eastAsia" w:ascii="方正仿宋_GBK" w:hAnsi="方正仿宋_GBK" w:eastAsia="方正仿宋_GBK" w:cs="方正仿宋_GBK"/>
          <w:b w:val="0"/>
          <w:bCs w:val="0"/>
          <w:color w:val="auto"/>
          <w:sz w:val="32"/>
          <w:szCs w:val="32"/>
          <w:lang w:eastAsia="zh-CN"/>
        </w:rPr>
        <w:t>考核</w:t>
      </w:r>
      <w:r>
        <w:rPr>
          <w:rFonts w:hint="eastAsia" w:ascii="方正仿宋_GBK" w:hAnsi="方正仿宋_GBK" w:eastAsia="方正仿宋_GBK" w:cs="方正仿宋_GBK"/>
          <w:b w:val="0"/>
          <w:bCs w:val="0"/>
          <w:color w:val="auto"/>
          <w:sz w:val="32"/>
          <w:szCs w:val="32"/>
        </w:rPr>
        <w:t>，通过多渠道多手段形成合力，切实把湿地日常监管工作压紧压实。</w:t>
      </w:r>
    </w:p>
    <w:p>
      <w:pPr>
        <w:pStyle w:val="5"/>
        <w:keepNext w:val="0"/>
        <w:keepLines w:val="0"/>
        <w:pageBreakBefore w:val="0"/>
        <w:widowControl w:val="0"/>
        <w:kinsoku/>
        <w:wordWrap/>
        <w:overflowPunct/>
        <w:topLinePunct/>
        <w:autoSpaceDE/>
        <w:autoSpaceDN/>
        <w:bidi w:val="0"/>
        <w:adjustRightInd/>
        <w:spacing w:line="580" w:lineRule="exact"/>
        <w:ind w:firstLine="643"/>
        <w:jc w:val="both"/>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加强湿地保护培训与宣传</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争取每年在全区范围内开展湿地保护管理培训，</w:t>
      </w:r>
      <w:r>
        <w:rPr>
          <w:rFonts w:hint="eastAsia" w:ascii="方正仿宋_GBK" w:hAnsi="方正仿宋_GBK" w:eastAsia="方正仿宋_GBK" w:cs="方正仿宋_GBK"/>
          <w:b w:val="0"/>
          <w:bCs w:val="0"/>
          <w:color w:val="auto"/>
          <w:sz w:val="32"/>
          <w:szCs w:val="32"/>
          <w:lang w:eastAsia="zh-CN"/>
        </w:rPr>
        <w:t>不断</w:t>
      </w:r>
      <w:r>
        <w:rPr>
          <w:rFonts w:hint="eastAsia" w:ascii="方正仿宋_GBK" w:hAnsi="方正仿宋_GBK" w:eastAsia="方正仿宋_GBK" w:cs="方正仿宋_GBK"/>
          <w:b w:val="0"/>
          <w:bCs w:val="0"/>
          <w:color w:val="auto"/>
          <w:sz w:val="32"/>
          <w:szCs w:val="32"/>
        </w:rPr>
        <w:t>提高湿地保护管理和技术人员</w:t>
      </w:r>
      <w:r>
        <w:rPr>
          <w:rFonts w:hint="eastAsia" w:ascii="方正仿宋_GBK" w:hAnsi="方正仿宋_GBK" w:eastAsia="方正仿宋_GBK" w:cs="方正仿宋_GBK"/>
          <w:b w:val="0"/>
          <w:bCs w:val="0"/>
          <w:color w:val="auto"/>
          <w:sz w:val="32"/>
          <w:szCs w:val="32"/>
          <w:lang w:eastAsia="zh-CN"/>
        </w:rPr>
        <w:t>的</w:t>
      </w:r>
      <w:r>
        <w:rPr>
          <w:rFonts w:hint="eastAsia" w:ascii="方正仿宋_GBK" w:hAnsi="方正仿宋_GBK" w:eastAsia="方正仿宋_GBK" w:cs="方正仿宋_GBK"/>
          <w:b w:val="0"/>
          <w:bCs w:val="0"/>
          <w:color w:val="auto"/>
          <w:sz w:val="32"/>
          <w:szCs w:val="32"/>
        </w:rPr>
        <w:t>工作能力和素质。围绕“世界湿地日”</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爱鸟周”等节日及重要时间节点，组织开展湿地保护科普宣传教育活动。依托湿地自然保护区和国家湿地公园其独特湿地景观、湿地文化等资源，统筹规划，合理布局，完善湿地宣教基础设施和设备。以湿地自然保护区一般控制区为重点</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建设湿地宣教平台</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设置宣教点。通过配备科普宣教设备、制作宣传材料、加强科普技术人员培训等措施，</w:t>
      </w:r>
      <w:r>
        <w:rPr>
          <w:rFonts w:hint="eastAsia" w:ascii="方正仿宋_GBK" w:hAnsi="方正仿宋_GBK" w:eastAsia="方正仿宋_GBK" w:cs="方正仿宋_GBK"/>
          <w:b w:val="0"/>
          <w:bCs w:val="0"/>
          <w:color w:val="auto"/>
          <w:sz w:val="32"/>
          <w:szCs w:val="32"/>
          <w:lang w:eastAsia="zh-CN"/>
        </w:rPr>
        <w:t>不断提升全区</w:t>
      </w:r>
      <w:r>
        <w:rPr>
          <w:rFonts w:hint="eastAsia" w:ascii="方正仿宋_GBK" w:hAnsi="方正仿宋_GBK" w:eastAsia="方正仿宋_GBK" w:cs="方正仿宋_GBK"/>
          <w:b w:val="0"/>
          <w:bCs w:val="0"/>
          <w:color w:val="auto"/>
          <w:sz w:val="32"/>
          <w:szCs w:val="32"/>
        </w:rPr>
        <w:t>湿地宣教能力。</w:t>
      </w:r>
    </w:p>
    <w:p>
      <w:pPr>
        <w:pStyle w:val="5"/>
        <w:keepNext w:val="0"/>
        <w:keepLines w:val="0"/>
        <w:pageBreakBefore w:val="0"/>
        <w:widowControl w:val="0"/>
        <w:kinsoku/>
        <w:wordWrap/>
        <w:overflowPunct/>
        <w:topLinePunct/>
        <w:autoSpaceDE/>
        <w:autoSpaceDN/>
        <w:bidi w:val="0"/>
        <w:adjustRightInd/>
        <w:spacing w:line="580" w:lineRule="exact"/>
        <w:ind w:firstLine="643"/>
        <w:jc w:val="both"/>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强</w:t>
      </w:r>
      <w:r>
        <w:rPr>
          <w:rFonts w:hint="eastAsia" w:ascii="方正仿宋_GBK" w:hAnsi="方正仿宋_GBK" w:eastAsia="方正仿宋_GBK" w:cs="方正仿宋_GBK"/>
          <w:b w:val="0"/>
          <w:bCs w:val="0"/>
          <w:color w:val="auto"/>
          <w:sz w:val="32"/>
          <w:szCs w:val="32"/>
          <w:lang w:eastAsia="zh-CN"/>
        </w:rPr>
        <w:t>化</w:t>
      </w:r>
      <w:r>
        <w:rPr>
          <w:rFonts w:hint="eastAsia" w:ascii="方正仿宋_GBK" w:hAnsi="方正仿宋_GBK" w:eastAsia="方正仿宋_GBK" w:cs="方正仿宋_GBK"/>
          <w:b w:val="0"/>
          <w:bCs w:val="0"/>
          <w:color w:val="auto"/>
          <w:sz w:val="32"/>
          <w:szCs w:val="32"/>
        </w:rPr>
        <w:t>科技支撑</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积极推动关键技术研究及应用推广，特别是加快推进湿地生态系统功能提升、稳定性维持、演替规律和内在机理等基础理论研究，统筹研究山水林田湖草沙一体化保护和系统治理模式的湿地保护和修复技术并逐步推广应用。强化林草大数据平台、科研创新平台等在湿地保护修复中的应用。完善湿地标准体系，依法组织制定湿地分级分类、监测预警、生态修复等地方标准和行业标准。</w:t>
      </w:r>
    </w:p>
    <w:p>
      <w:pPr>
        <w:pStyle w:val="5"/>
        <w:keepNext w:val="0"/>
        <w:keepLines w:val="0"/>
        <w:pageBreakBefore w:val="0"/>
        <w:widowControl w:val="0"/>
        <w:kinsoku/>
        <w:wordWrap/>
        <w:overflowPunct/>
        <w:topLinePunct/>
        <w:autoSpaceDE/>
        <w:autoSpaceDN/>
        <w:bidi w:val="0"/>
        <w:adjustRightInd/>
        <w:spacing w:line="580" w:lineRule="exact"/>
        <w:ind w:firstLine="643"/>
        <w:jc w:val="both"/>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lang w:val="en-US" w:eastAsia="zh-CN"/>
        </w:rPr>
        <w:t>2.</w:t>
      </w:r>
      <w:r>
        <w:rPr>
          <w:rFonts w:hint="eastAsia" w:ascii="方正仿宋_GBK" w:hAnsi="方正仿宋_GBK" w:eastAsia="方正仿宋_GBK" w:cs="方正仿宋_GBK"/>
          <w:b w:val="0"/>
          <w:bCs w:val="0"/>
          <w:color w:val="auto"/>
          <w:sz w:val="32"/>
          <w:szCs w:val="32"/>
        </w:rPr>
        <w:t>湿地恢复</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落实湿地修复制度，采取近自然措施，重点在生态系统退化严重、生态脆弱敏感的重要湿地，珍稀濒危物种繁殖栖息地，以及鸟类迁徙通道上的重要湿地开展综合整治和系统修复。</w:t>
      </w:r>
    </w:p>
    <w:p>
      <w:pPr>
        <w:keepNext w:val="0"/>
        <w:keepLines w:val="0"/>
        <w:pageBreakBefore w:val="0"/>
        <w:widowControl w:val="0"/>
        <w:kinsoku/>
        <w:wordWrap/>
        <w:overflowPunct/>
        <w:topLinePunct/>
        <w:autoSpaceDE/>
        <w:autoSpaceDN/>
        <w:bidi w:val="0"/>
        <w:adjustRightInd/>
        <w:spacing w:line="580" w:lineRule="exact"/>
        <w:ind w:firstLine="643"/>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持续推进“一湖两海”及察汗淖尔流域综合治理</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呼伦湖、乌梁素海</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岱海共同构成了内蒙古三大淡水湖，在调节气候、修复生态、涵养水源、生物多样性等方面发挥着重要作用。近年</w:t>
      </w:r>
      <w:r>
        <w:rPr>
          <w:rFonts w:hint="eastAsia" w:ascii="方正仿宋_GBK" w:hAnsi="方正仿宋_GBK" w:eastAsia="方正仿宋_GBK" w:cs="方正仿宋_GBK"/>
          <w:b w:val="0"/>
          <w:bCs w:val="0"/>
          <w:color w:val="auto"/>
          <w:sz w:val="32"/>
          <w:szCs w:val="32"/>
          <w:lang w:eastAsia="zh-CN"/>
        </w:rPr>
        <w:t>来，</w:t>
      </w:r>
      <w:r>
        <w:rPr>
          <w:rFonts w:hint="eastAsia" w:ascii="方正仿宋_GBK" w:hAnsi="方正仿宋_GBK" w:eastAsia="方正仿宋_GBK" w:cs="方正仿宋_GBK"/>
          <w:b w:val="0"/>
          <w:bCs w:val="0"/>
          <w:color w:val="auto"/>
          <w:sz w:val="32"/>
          <w:szCs w:val="32"/>
        </w:rPr>
        <w:t>通过生态综合治理及河湖修复工程</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湿地恢复成效显著</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到2030年</w:t>
      </w:r>
      <w:r>
        <w:rPr>
          <w:rFonts w:hint="eastAsia" w:ascii="方正仿宋_GBK" w:hAnsi="方正仿宋_GBK" w:eastAsia="方正仿宋_GBK" w:cs="方正仿宋_GBK"/>
          <w:b w:val="0"/>
          <w:bCs w:val="0"/>
          <w:color w:val="auto"/>
          <w:sz w:val="32"/>
          <w:szCs w:val="32"/>
          <w:lang w:eastAsia="zh-CN"/>
        </w:rPr>
        <w:t>，通过</w:t>
      </w:r>
      <w:r>
        <w:rPr>
          <w:rFonts w:hint="eastAsia" w:ascii="方正仿宋_GBK" w:hAnsi="方正仿宋_GBK" w:eastAsia="方正仿宋_GBK" w:cs="方正仿宋_GBK"/>
          <w:b w:val="0"/>
          <w:bCs w:val="0"/>
          <w:color w:val="auto"/>
          <w:sz w:val="32"/>
          <w:szCs w:val="32"/>
        </w:rPr>
        <w:t>持续统筹推进山水林田湖草沙系统治理，以系统化治理为方向，</w:t>
      </w:r>
      <w:r>
        <w:rPr>
          <w:rFonts w:hint="eastAsia" w:ascii="方正仿宋_GBK" w:hAnsi="方正仿宋_GBK" w:eastAsia="方正仿宋_GBK" w:cs="方正仿宋_GBK"/>
          <w:b w:val="0"/>
          <w:bCs w:val="0"/>
          <w:color w:val="auto"/>
          <w:sz w:val="32"/>
          <w:szCs w:val="32"/>
          <w:lang w:eastAsia="zh-CN"/>
        </w:rPr>
        <w:t>实现</w:t>
      </w:r>
      <w:r>
        <w:rPr>
          <w:rFonts w:hint="eastAsia" w:ascii="方正仿宋_GBK" w:hAnsi="方正仿宋_GBK" w:eastAsia="方正仿宋_GBK" w:cs="方正仿宋_GBK"/>
          <w:b w:val="0"/>
          <w:bCs w:val="0"/>
          <w:color w:val="auto"/>
          <w:sz w:val="32"/>
          <w:szCs w:val="32"/>
        </w:rPr>
        <w:t>从“治湖泊”向“治流域”转变</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由“单要素”向“多要素”生态修复转变。通过生态补水、植被恢复、禁牧、河湖连通等治理措施改善河湖湿地水质、提升生物多样性，最终实现稳定的生态系统，使“一湖两海”再现盎然生机。察汗淖尔流域实施综合治理，通过林分改造、植被恢复、禁牧等措施提升流域湿地生态功能。</w:t>
      </w:r>
    </w:p>
    <w:p>
      <w:pPr>
        <w:keepNext w:val="0"/>
        <w:keepLines w:val="0"/>
        <w:pageBreakBefore w:val="0"/>
        <w:widowControl w:val="0"/>
        <w:kinsoku/>
        <w:wordWrap/>
        <w:overflowPunct/>
        <w:topLinePunct/>
        <w:autoSpaceDE/>
        <w:autoSpaceDN/>
        <w:bidi w:val="0"/>
        <w:adjustRightInd/>
        <w:spacing w:line="580" w:lineRule="exact"/>
        <w:ind w:firstLine="643"/>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积极推进西辽河、达里诺尔、黄旗海、哈素海、居延海等湿地恢复工程。通过湿地植被恢复、外来入侵物种防控、水系连通、生态补水等措施提高湿地质量，改善湿地水鸟生境，增加濒危珍稀野生动植物栖息繁衍空间。</w:t>
      </w:r>
    </w:p>
    <w:p>
      <w:pPr>
        <w:keepNext w:val="0"/>
        <w:keepLines w:val="0"/>
        <w:pageBreakBefore w:val="0"/>
        <w:widowControl w:val="0"/>
        <w:kinsoku/>
        <w:wordWrap/>
        <w:overflowPunct/>
        <w:topLinePunct/>
        <w:autoSpaceDE/>
        <w:autoSpaceDN/>
        <w:bidi w:val="0"/>
        <w:adjustRightInd/>
        <w:spacing w:line="580" w:lineRule="exact"/>
        <w:ind w:firstLine="643"/>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全力配合打</w:t>
      </w:r>
      <w:r>
        <w:rPr>
          <w:rFonts w:hint="eastAsia" w:ascii="方正仿宋_GBK" w:hAnsi="方正仿宋_GBK" w:eastAsia="方正仿宋_GBK" w:cs="方正仿宋_GBK"/>
          <w:b w:val="0"/>
          <w:bCs w:val="0"/>
          <w:color w:val="auto"/>
          <w:sz w:val="32"/>
          <w:szCs w:val="32"/>
          <w:lang w:eastAsia="zh-CN"/>
        </w:rPr>
        <w:t>好“三北”工程和</w:t>
      </w:r>
      <w:r>
        <w:rPr>
          <w:rFonts w:hint="eastAsia" w:ascii="方正仿宋_GBK" w:hAnsi="方正仿宋_GBK" w:eastAsia="方正仿宋_GBK" w:cs="方正仿宋_GBK"/>
          <w:b w:val="0"/>
          <w:bCs w:val="0"/>
          <w:color w:val="auto"/>
          <w:sz w:val="32"/>
          <w:szCs w:val="32"/>
        </w:rPr>
        <w:t>三大标志性战役</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打好黄河</w:t>
      </w:r>
      <w:r>
        <w:rPr>
          <w:rFonts w:hint="eastAsia" w:ascii="方正仿宋_GBK" w:hAnsi="方正仿宋_GBK" w:eastAsia="方正仿宋_GBK" w:cs="方正仿宋_GBK"/>
          <w:b w:val="0"/>
          <w:bCs w:val="0"/>
          <w:color w:val="auto"/>
          <w:sz w:val="32"/>
          <w:szCs w:val="32"/>
          <w:lang w:eastAsia="zh-CN"/>
        </w:rPr>
        <w:t>“几字弯”</w:t>
      </w:r>
      <w:r>
        <w:rPr>
          <w:rFonts w:hint="eastAsia" w:ascii="方正仿宋_GBK" w:hAnsi="方正仿宋_GBK" w:eastAsia="方正仿宋_GBK" w:cs="方正仿宋_GBK"/>
          <w:b w:val="0"/>
          <w:bCs w:val="0"/>
          <w:color w:val="auto"/>
          <w:sz w:val="32"/>
          <w:szCs w:val="32"/>
        </w:rPr>
        <w:t>攻坚战、科尔沁和浑善达克两大沙地歼灭战、河西走廊</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塔克拉玛干沙漠边缘阻击战，直接关系着防沙治沙的实际成效，直接影响着“三北”工程攻坚战的整体战局，直接决定着我国北方重要生态安全屏障的牢固程度。三大战役的“主战场”与本规划中黄河重点生态区、西辽河湿地生态保护修复区、内流河湿地生态保护修复区空间耦合，配合黄河沿岸小流域综合治理</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河套平原和土默川平原盐碱地治理，不断提升沿黄湿地生态功能；配合科尔沁、浑善达克两沙地地下水限采</w:t>
      </w:r>
      <w:r>
        <w:rPr>
          <w:rFonts w:hint="eastAsia" w:ascii="方正仿宋_GBK" w:hAnsi="方正仿宋_GBK" w:eastAsia="方正仿宋_GBK" w:cs="方正仿宋_GBK"/>
          <w:b w:val="0"/>
          <w:bCs w:val="0"/>
          <w:color w:val="auto"/>
          <w:sz w:val="32"/>
          <w:szCs w:val="32"/>
          <w:lang w:eastAsia="zh-CN"/>
        </w:rPr>
        <w:t>和</w:t>
      </w:r>
      <w:r>
        <w:rPr>
          <w:rFonts w:hint="eastAsia" w:ascii="方正仿宋_GBK" w:hAnsi="方正仿宋_GBK" w:eastAsia="方正仿宋_GBK" w:cs="方正仿宋_GBK"/>
          <w:b w:val="0"/>
          <w:bCs w:val="0"/>
          <w:color w:val="auto"/>
          <w:sz w:val="32"/>
          <w:szCs w:val="32"/>
        </w:rPr>
        <w:t>连通河湖等措施，使沙地内湿地休养生息逐步恢复；配合河西走廊</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塔克拉玛干沙漠边缘区域植被恢复建设，维护湿地野生动植物栖息地及生境。</w:t>
      </w:r>
    </w:p>
    <w:p>
      <w:pPr>
        <w:keepNext w:val="0"/>
        <w:keepLines w:val="0"/>
        <w:pageBreakBefore w:val="0"/>
        <w:widowControl w:val="0"/>
        <w:kinsoku/>
        <w:wordWrap/>
        <w:overflowPunct/>
        <w:topLinePunct/>
        <w:autoSpaceDE/>
        <w:autoSpaceDN/>
        <w:bidi w:val="0"/>
        <w:adjustRightInd/>
        <w:spacing w:line="580" w:lineRule="exact"/>
        <w:ind w:firstLine="0" w:firstLineChars="0"/>
        <w:jc w:val="center"/>
        <w:textAlignment w:val="auto"/>
        <w:rPr>
          <w:rFonts w:hint="eastAsia" w:ascii="方正黑体_GBK" w:hAnsi="方正黑体_GBK" w:eastAsia="方正黑体_GBK" w:cs="方正黑体_GBK"/>
          <w:b w:val="0"/>
          <w:bCs w:val="0"/>
          <w:color w:val="auto"/>
          <w:kern w:val="0"/>
          <w:sz w:val="32"/>
          <w:szCs w:val="32"/>
        </w:rPr>
      </w:pPr>
      <w:r>
        <w:rPr>
          <w:rFonts w:hint="eastAsia" w:ascii="方正黑体_GBK" w:hAnsi="方正黑体_GBK" w:eastAsia="方正黑体_GBK" w:cs="方正黑体_GBK"/>
          <w:b w:val="0"/>
          <w:bCs w:val="0"/>
          <w:color w:val="auto"/>
          <w:kern w:val="0"/>
          <w:sz w:val="32"/>
          <w:szCs w:val="32"/>
        </w:rPr>
        <w:t xml:space="preserve">表4-6 </w:t>
      </w:r>
      <w:bookmarkStart w:id="38" w:name="_Hlk149558064"/>
      <w:r>
        <w:rPr>
          <w:rFonts w:hint="eastAsia" w:ascii="方正黑体_GBK" w:hAnsi="方正黑体_GBK" w:eastAsia="方正黑体_GBK" w:cs="方正黑体_GBK"/>
          <w:b w:val="0"/>
          <w:bCs w:val="0"/>
          <w:color w:val="auto"/>
          <w:kern w:val="0"/>
          <w:sz w:val="32"/>
          <w:szCs w:val="32"/>
          <w:lang w:val="en-US" w:eastAsia="zh-CN"/>
        </w:rPr>
        <w:t xml:space="preserve"> </w:t>
      </w:r>
      <w:r>
        <w:rPr>
          <w:rFonts w:hint="eastAsia" w:ascii="方正黑体_GBK" w:hAnsi="方正黑体_GBK" w:eastAsia="方正黑体_GBK" w:cs="方正黑体_GBK"/>
          <w:b w:val="0"/>
          <w:bCs w:val="0"/>
          <w:color w:val="auto"/>
          <w:kern w:val="0"/>
          <w:sz w:val="32"/>
          <w:szCs w:val="32"/>
        </w:rPr>
        <w:t>湿地修复工程</w:t>
      </w:r>
      <w:bookmarkEnd w:id="38"/>
    </w:p>
    <w:tbl>
      <w:tblPr>
        <w:tblStyle w:val="29"/>
        <w:tblpPr w:leftFromText="180" w:rightFromText="180" w:vertAnchor="text" w:tblpXSpec="center" w:tblpY="314"/>
        <w:tblOverlap w:val="never"/>
        <w:tblW w:w="8852" w:type="dxa"/>
        <w:tblInd w:w="-263" w:type="dxa"/>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
      <w:tblGrid>
        <w:gridCol w:w="1569"/>
        <w:gridCol w:w="4594"/>
        <w:gridCol w:w="2689"/>
      </w:tblGrid>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322" w:hRule="atLeast"/>
        </w:trPr>
        <w:tc>
          <w:tcPr>
            <w:tcW w:w="156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方正黑体_GBK" w:hAnsi="方正黑体_GBK" w:eastAsia="方正黑体_GBK" w:cs="方正黑体_GBK"/>
                <w:b w:val="0"/>
                <w:bCs w:val="0"/>
                <w:color w:val="auto"/>
                <w:sz w:val="21"/>
                <w:szCs w:val="21"/>
              </w:rPr>
            </w:pPr>
            <w:r>
              <w:rPr>
                <w:rFonts w:hint="eastAsia" w:ascii="方正黑体_GBK" w:hAnsi="方正黑体_GBK" w:eastAsia="方正黑体_GBK" w:cs="方正黑体_GBK"/>
                <w:b w:val="0"/>
                <w:bCs w:val="0"/>
                <w:color w:val="auto"/>
                <w:sz w:val="21"/>
                <w:szCs w:val="21"/>
              </w:rPr>
              <w:t>空间布局</w:t>
            </w:r>
          </w:p>
        </w:tc>
        <w:tc>
          <w:tcPr>
            <w:tcW w:w="459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方正黑体_GBK" w:hAnsi="方正黑体_GBK" w:eastAsia="方正黑体_GBK" w:cs="方正黑体_GBK"/>
                <w:b w:val="0"/>
                <w:bCs w:val="0"/>
                <w:color w:val="auto"/>
                <w:sz w:val="21"/>
                <w:szCs w:val="21"/>
              </w:rPr>
            </w:pPr>
            <w:r>
              <w:rPr>
                <w:rFonts w:hint="eastAsia" w:ascii="方正黑体_GBK" w:hAnsi="方正黑体_GBK" w:eastAsia="方正黑体_GBK" w:cs="方正黑体_GBK"/>
                <w:b w:val="0"/>
                <w:bCs w:val="0"/>
                <w:color w:val="auto"/>
                <w:sz w:val="21"/>
                <w:szCs w:val="21"/>
              </w:rPr>
              <w:t>备</w:t>
            </w:r>
            <w:r>
              <w:rPr>
                <w:rFonts w:hint="eastAsia" w:ascii="方正黑体_GBK" w:hAnsi="方正黑体_GBK" w:eastAsia="方正黑体_GBK" w:cs="方正黑体_GBK"/>
                <w:b w:val="0"/>
                <w:bCs w:val="0"/>
                <w:color w:val="auto"/>
                <w:sz w:val="21"/>
                <w:szCs w:val="21"/>
                <w:lang w:val="en-US" w:eastAsia="zh-CN"/>
              </w:rPr>
              <w:t xml:space="preserve">  </w:t>
            </w:r>
            <w:r>
              <w:rPr>
                <w:rFonts w:hint="eastAsia" w:ascii="方正黑体_GBK" w:hAnsi="方正黑体_GBK" w:eastAsia="方正黑体_GBK" w:cs="方正黑体_GBK"/>
                <w:b w:val="0"/>
                <w:bCs w:val="0"/>
                <w:color w:val="auto"/>
                <w:sz w:val="21"/>
                <w:szCs w:val="21"/>
              </w:rPr>
              <w:t>选</w:t>
            </w:r>
            <w:r>
              <w:rPr>
                <w:rFonts w:hint="eastAsia" w:ascii="方正黑体_GBK" w:hAnsi="方正黑体_GBK" w:eastAsia="方正黑体_GBK" w:cs="方正黑体_GBK"/>
                <w:b w:val="0"/>
                <w:bCs w:val="0"/>
                <w:color w:val="auto"/>
                <w:sz w:val="21"/>
                <w:szCs w:val="21"/>
                <w:lang w:val="en-US" w:eastAsia="zh-CN"/>
              </w:rPr>
              <w:t xml:space="preserve">  </w:t>
            </w:r>
            <w:r>
              <w:rPr>
                <w:rFonts w:hint="eastAsia" w:ascii="方正黑体_GBK" w:hAnsi="方正黑体_GBK" w:eastAsia="方正黑体_GBK" w:cs="方正黑体_GBK"/>
                <w:b w:val="0"/>
                <w:bCs w:val="0"/>
                <w:color w:val="auto"/>
                <w:sz w:val="21"/>
                <w:szCs w:val="21"/>
              </w:rPr>
              <w:t>范</w:t>
            </w:r>
            <w:r>
              <w:rPr>
                <w:rFonts w:hint="eastAsia" w:ascii="方正黑体_GBK" w:hAnsi="方正黑体_GBK" w:eastAsia="方正黑体_GBK" w:cs="方正黑体_GBK"/>
                <w:b w:val="0"/>
                <w:bCs w:val="0"/>
                <w:color w:val="auto"/>
                <w:sz w:val="21"/>
                <w:szCs w:val="21"/>
                <w:lang w:val="en-US" w:eastAsia="zh-CN"/>
              </w:rPr>
              <w:t xml:space="preserve">  </w:t>
            </w:r>
            <w:r>
              <w:rPr>
                <w:rFonts w:hint="eastAsia" w:ascii="方正黑体_GBK" w:hAnsi="方正黑体_GBK" w:eastAsia="方正黑体_GBK" w:cs="方正黑体_GBK"/>
                <w:b w:val="0"/>
                <w:bCs w:val="0"/>
                <w:color w:val="auto"/>
                <w:sz w:val="21"/>
                <w:szCs w:val="21"/>
              </w:rPr>
              <w:t>围</w:t>
            </w:r>
          </w:p>
        </w:tc>
        <w:tc>
          <w:tcPr>
            <w:tcW w:w="268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center"/>
              <w:textAlignment w:val="auto"/>
              <w:rPr>
                <w:rFonts w:hint="eastAsia" w:ascii="方正黑体_GBK" w:hAnsi="方正黑体_GBK" w:eastAsia="方正黑体_GBK" w:cs="方正黑体_GBK"/>
                <w:b w:val="0"/>
                <w:bCs w:val="0"/>
                <w:color w:val="auto"/>
                <w:sz w:val="21"/>
                <w:szCs w:val="21"/>
              </w:rPr>
            </w:pPr>
            <w:r>
              <w:rPr>
                <w:rFonts w:hint="eastAsia" w:ascii="方正黑体_GBK" w:hAnsi="方正黑体_GBK" w:eastAsia="方正黑体_GBK" w:cs="方正黑体_GBK"/>
                <w:b w:val="0"/>
                <w:bCs w:val="0"/>
                <w:color w:val="auto"/>
                <w:sz w:val="21"/>
                <w:szCs w:val="21"/>
              </w:rPr>
              <w:t>拟建设内容</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1619" w:hRule="atLeast"/>
        </w:trPr>
        <w:tc>
          <w:tcPr>
            <w:tcW w:w="156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kern w:val="0"/>
                <w:sz w:val="21"/>
                <w:szCs w:val="21"/>
              </w:rPr>
              <w:t>嫩江与额尔古纳河湿地生态保护恢复区</w:t>
            </w:r>
          </w:p>
        </w:tc>
        <w:tc>
          <w:tcPr>
            <w:tcW w:w="459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kern w:val="0"/>
                <w:sz w:val="21"/>
                <w:szCs w:val="21"/>
              </w:rPr>
              <w:t>嫩江和额尔古纳河流域内国家湿地公园、湿地类型自然保护区、国家重要湿地等</w:t>
            </w:r>
          </w:p>
        </w:tc>
        <w:tc>
          <w:tcPr>
            <w:tcW w:w="268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开展河湖连通，恢复退化湿地生态系统，使珍稀水禽栖息地和迁徙生态廊道得到有效保护和恢复。</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1204" w:hRule="atLeast"/>
        </w:trPr>
        <w:tc>
          <w:tcPr>
            <w:tcW w:w="156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西辽河湿地生态保护修复区</w:t>
            </w:r>
          </w:p>
        </w:tc>
        <w:tc>
          <w:tcPr>
            <w:tcW w:w="459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kern w:val="0"/>
                <w:sz w:val="21"/>
                <w:szCs w:val="21"/>
              </w:rPr>
            </w:pPr>
            <w:r>
              <w:rPr>
                <w:rFonts w:hint="eastAsia" w:ascii="宋体" w:hAnsi="宋体" w:eastAsia="宋体" w:cs="宋体"/>
                <w:b w:val="0"/>
                <w:bCs w:val="0"/>
                <w:color w:val="auto"/>
                <w:kern w:val="0"/>
                <w:sz w:val="21"/>
                <w:szCs w:val="21"/>
              </w:rPr>
              <w:t>西辽河流域内国家湿地公园、湿地类型自然保护区、国家重要湿地等</w:t>
            </w:r>
          </w:p>
        </w:tc>
        <w:tc>
          <w:tcPr>
            <w:tcW w:w="268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开展植被恢复，野生动植物生境修复。</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858" w:hRule="atLeast"/>
        </w:trPr>
        <w:tc>
          <w:tcPr>
            <w:tcW w:w="156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pacing w:val="-11"/>
                <w:sz w:val="21"/>
                <w:szCs w:val="21"/>
              </w:rPr>
              <w:t>滦河与永定河湿地生态保护区</w:t>
            </w:r>
          </w:p>
        </w:tc>
        <w:tc>
          <w:tcPr>
            <w:tcW w:w="459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kern w:val="0"/>
                <w:sz w:val="21"/>
                <w:szCs w:val="21"/>
              </w:rPr>
              <w:t>正蓝旗上都河国家湿地公园</w:t>
            </w:r>
          </w:p>
        </w:tc>
        <w:tc>
          <w:tcPr>
            <w:tcW w:w="268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加强湿地资源管护，完善湿地监测监控设施。</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803" w:hRule="atLeast"/>
        </w:trPr>
        <w:tc>
          <w:tcPr>
            <w:tcW w:w="156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kern w:val="0"/>
                <w:sz w:val="21"/>
                <w:szCs w:val="21"/>
              </w:rPr>
              <w:t>黄河湿地重点生态区</w:t>
            </w:r>
          </w:p>
        </w:tc>
        <w:tc>
          <w:tcPr>
            <w:tcW w:w="459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kern w:val="0"/>
                <w:sz w:val="21"/>
                <w:szCs w:val="21"/>
              </w:rPr>
              <w:t>黄河流域内国家湿地公园、湿地类型自然保护区、国家重要湿地等</w:t>
            </w:r>
          </w:p>
        </w:tc>
        <w:tc>
          <w:tcPr>
            <w:tcW w:w="268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sz w:val="21"/>
                <w:szCs w:val="21"/>
              </w:rPr>
              <w:t>开展生态补水等退化湿地修复、植被恢复及水鸟栖息地生境修复。</w:t>
            </w:r>
          </w:p>
        </w:tc>
      </w:tr>
      <w:tr>
        <w:tblPrEx>
          <w:tblBorders>
            <w:top w:val="single" w:color="000000" w:sz="8" w:space="0"/>
            <w:left w:val="single" w:color="000000" w:sz="8" w:space="0"/>
            <w:bottom w:val="single" w:color="000000" w:sz="8" w:space="0"/>
            <w:right w:val="single" w:color="000000" w:sz="8" w:space="0"/>
            <w:insideH w:val="single" w:color="000000" w:sz="4" w:space="0"/>
            <w:insideV w:val="single" w:color="000000" w:sz="4" w:space="0"/>
          </w:tblBorders>
          <w:tblLayout w:type="fixed"/>
          <w:tblCellMar>
            <w:top w:w="0" w:type="dxa"/>
            <w:left w:w="108" w:type="dxa"/>
            <w:bottom w:w="0" w:type="dxa"/>
            <w:right w:w="108" w:type="dxa"/>
          </w:tblCellMar>
        </w:tblPrEx>
        <w:trPr>
          <w:trHeight w:val="1039" w:hRule="atLeast"/>
        </w:trPr>
        <w:tc>
          <w:tcPr>
            <w:tcW w:w="156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jc w:val="both"/>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kern w:val="0"/>
                <w:sz w:val="21"/>
                <w:szCs w:val="21"/>
              </w:rPr>
              <w:t>内流河湿地生态保护修复区</w:t>
            </w:r>
          </w:p>
        </w:tc>
        <w:tc>
          <w:tcPr>
            <w:tcW w:w="4594"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z w:val="21"/>
                <w:szCs w:val="21"/>
              </w:rPr>
            </w:pPr>
            <w:r>
              <w:rPr>
                <w:rFonts w:hint="eastAsia" w:ascii="宋体" w:hAnsi="宋体" w:eastAsia="宋体" w:cs="宋体"/>
                <w:b w:val="0"/>
                <w:bCs w:val="0"/>
                <w:color w:val="auto"/>
                <w:kern w:val="0"/>
                <w:sz w:val="21"/>
                <w:szCs w:val="21"/>
              </w:rPr>
              <w:t>岱海、察汗淖尔、黄旗海、达里诺尔、居延海等湿地</w:t>
            </w:r>
          </w:p>
        </w:tc>
        <w:tc>
          <w:tcPr>
            <w:tcW w:w="2689" w:type="dxa"/>
            <w:tcBorders>
              <w:tl2br w:val="nil"/>
              <w:tr2bl w:val="nil"/>
            </w:tcBorders>
            <w:noWrap w:val="0"/>
            <w:vAlign w:val="center"/>
          </w:tcPr>
          <w:p>
            <w:pPr>
              <w:keepNext w:val="0"/>
              <w:keepLines w:val="0"/>
              <w:pageBreakBefore w:val="0"/>
              <w:widowControl w:val="0"/>
              <w:kinsoku/>
              <w:wordWrap/>
              <w:overflowPunct/>
              <w:topLinePunct/>
              <w:autoSpaceDE/>
              <w:autoSpaceDN/>
              <w:bidi w:val="0"/>
              <w:adjustRightInd/>
              <w:snapToGrid/>
              <w:spacing w:line="300" w:lineRule="exact"/>
              <w:ind w:firstLine="0" w:firstLineChars="0"/>
              <w:textAlignment w:val="auto"/>
              <w:rPr>
                <w:rFonts w:hint="eastAsia" w:ascii="宋体" w:hAnsi="宋体" w:eastAsia="宋体" w:cs="宋体"/>
                <w:b w:val="0"/>
                <w:bCs w:val="0"/>
                <w:color w:val="auto"/>
                <w:spacing w:val="-6"/>
                <w:sz w:val="21"/>
                <w:szCs w:val="21"/>
              </w:rPr>
            </w:pPr>
            <w:r>
              <w:rPr>
                <w:rFonts w:hint="eastAsia" w:ascii="宋体" w:hAnsi="宋体" w:eastAsia="宋体" w:cs="宋体"/>
                <w:b w:val="0"/>
                <w:bCs w:val="0"/>
                <w:color w:val="auto"/>
                <w:spacing w:val="-6"/>
                <w:sz w:val="21"/>
                <w:szCs w:val="21"/>
              </w:rPr>
              <w:t>开展盐碱地草本植被恢复工程、水鸟栖息地生境修复。</w:t>
            </w:r>
          </w:p>
        </w:tc>
      </w:tr>
    </w:tbl>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bookmarkStart w:id="39" w:name="_Toc149727796"/>
      <w:r>
        <w:rPr>
          <w:rFonts w:hint="eastAsia" w:ascii="方正楷体_GBK" w:hAnsi="方正楷体_GBK" w:eastAsia="方正楷体_GBK" w:cs="方正楷体_GBK"/>
          <w:b w:val="0"/>
          <w:bCs w:val="0"/>
          <w:color w:val="auto"/>
          <w:sz w:val="32"/>
          <w:szCs w:val="32"/>
        </w:rPr>
        <w:t>第五节 湿地可持续利用示范</w:t>
      </w:r>
      <w:bookmarkEnd w:id="39"/>
    </w:p>
    <w:p>
      <w:pPr>
        <w:keepNext w:val="0"/>
        <w:keepLines w:val="0"/>
        <w:pageBreakBefore w:val="0"/>
        <w:widowControl w:val="0"/>
        <w:kinsoku/>
        <w:wordWrap/>
        <w:overflowPunct/>
        <w:topLinePunct/>
        <w:autoSpaceDE/>
        <w:autoSpaceDN/>
        <w:bidi w:val="0"/>
        <w:adjustRightInd/>
        <w:spacing w:line="580" w:lineRule="exact"/>
        <w:ind w:firstLine="640"/>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在对自治区自然湿地进行严格保护和有效恢复的基础上，加强对珍稀濒危野生动物及其栖息地的保护，同时适当开展一些可持续利用活动。选择典型地区开展湿地可持续利用示范工程，建立不同类型湿地开发和合理利用成功模式。</w:t>
      </w:r>
    </w:p>
    <w:p>
      <w:pPr>
        <w:keepNext w:val="0"/>
        <w:keepLines w:val="0"/>
        <w:pageBreakBefore w:val="0"/>
        <w:widowControl w:val="0"/>
        <w:kinsoku/>
        <w:wordWrap/>
        <w:overflowPunct/>
        <w:topLinePunct/>
        <w:autoSpaceDE/>
        <w:autoSpaceDN/>
        <w:bidi w:val="0"/>
        <w:adjustRightInd/>
        <w:spacing w:line="580" w:lineRule="exact"/>
        <w:ind w:firstLine="643"/>
        <w:jc w:val="both"/>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kern w:val="0"/>
          <w:sz w:val="32"/>
          <w:szCs w:val="32"/>
          <w:lang w:bidi="ar"/>
        </w:rPr>
        <w:t>湿地自然教育基地。</w:t>
      </w:r>
      <w:r>
        <w:rPr>
          <w:rFonts w:hint="eastAsia" w:ascii="方正仿宋_GBK" w:hAnsi="方正仿宋_GBK" w:eastAsia="方正仿宋_GBK" w:cs="方正仿宋_GBK"/>
          <w:b w:val="0"/>
          <w:bCs w:val="0"/>
          <w:color w:val="auto"/>
          <w:sz w:val="32"/>
          <w:szCs w:val="32"/>
        </w:rPr>
        <w:t>依托自治区湿地自然保护地的自然资源开展湿地科普教育，建立5—10个有一定影响力的湿地自然教育基地。建设内容包括湿地自然教育基地场所建设、教师队伍培养、线上线下课程内容设计、湿地研学、购置培训教育设备等。采取聘请专家、学者为主体的教师队伍，定期对学生进行湿地科学、湿地资源保护和管理等方面的讲解，通过观察湿地的景观、物种、生境和生态系统等，使学生充分了解湿地资源特征与保护手段，形成全社会参与保护湿地的良好氛围。</w:t>
      </w:r>
    </w:p>
    <w:p>
      <w:pPr>
        <w:keepNext w:val="0"/>
        <w:keepLines w:val="0"/>
        <w:pageBreakBefore w:val="0"/>
        <w:widowControl w:val="0"/>
        <w:kinsoku/>
        <w:wordWrap/>
        <w:overflowPunct/>
        <w:topLinePunct/>
        <w:autoSpaceDE/>
        <w:autoSpaceDN/>
        <w:bidi w:val="0"/>
        <w:adjustRightInd/>
        <w:spacing w:line="580" w:lineRule="exact"/>
        <w:ind w:firstLine="643"/>
        <w:jc w:val="both"/>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kern w:val="0"/>
          <w:sz w:val="32"/>
          <w:szCs w:val="32"/>
          <w:lang w:bidi="ar"/>
        </w:rPr>
        <w:t>湿地生态旅游发展示范基地。</w:t>
      </w:r>
      <w:r>
        <w:rPr>
          <w:rFonts w:hint="eastAsia" w:ascii="方正仿宋_GBK" w:hAnsi="方正仿宋_GBK" w:eastAsia="方正仿宋_GBK" w:cs="方正仿宋_GBK"/>
          <w:b w:val="0"/>
          <w:bCs w:val="0"/>
          <w:color w:val="auto"/>
          <w:sz w:val="32"/>
          <w:szCs w:val="32"/>
        </w:rPr>
        <w:t>充分发挥自治区湿地旅游资源丰富的特点，将湿地保护融入生态旅游发展建设，让游客</w:t>
      </w:r>
      <w:r>
        <w:rPr>
          <w:rFonts w:hint="eastAsia" w:ascii="方正仿宋_GBK" w:hAnsi="方正仿宋_GBK" w:eastAsia="方正仿宋_GBK" w:cs="方正仿宋_GBK"/>
          <w:b w:val="0"/>
          <w:bCs w:val="0"/>
          <w:color w:val="auto"/>
          <w:sz w:val="32"/>
          <w:szCs w:val="32"/>
          <w:lang w:eastAsia="zh-CN"/>
        </w:rPr>
        <w:t>在</w:t>
      </w:r>
      <w:r>
        <w:rPr>
          <w:rFonts w:hint="eastAsia" w:ascii="方正仿宋_GBK" w:hAnsi="方正仿宋_GBK" w:eastAsia="方正仿宋_GBK" w:cs="方正仿宋_GBK"/>
          <w:b w:val="0"/>
          <w:bCs w:val="0"/>
          <w:color w:val="auto"/>
          <w:sz w:val="32"/>
          <w:szCs w:val="32"/>
        </w:rPr>
        <w:t>认识湿地、享受湿地的同时提高湿地生态环保意识。在湿地资源得到有效保护的前提下，积极开发不同类型湿地生态旅游线路，建立以额尔古纳、达里诺尔、南海子、居延海、乌梁素海等为代表的不同类型湿地特色生态旅游示范区，开展以湿地观光、休闲、自驾、骑行、徒步、观鸟、摄影和科学考察为主的旅游项目。同时</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开展城市生态湿地建设，作为城市景观色，为居民提供休憩场所。</w:t>
      </w:r>
    </w:p>
    <w:p>
      <w:pPr>
        <w:pStyle w:val="3"/>
        <w:keepNext w:val="0"/>
        <w:keepLines w:val="0"/>
        <w:pageBreakBefore w:val="0"/>
        <w:widowControl w:val="0"/>
        <w:kinsoku/>
        <w:wordWrap/>
        <w:overflowPunct/>
        <w:topLinePunct/>
        <w:autoSpaceDE/>
        <w:autoSpaceDN/>
        <w:bidi w:val="0"/>
        <w:adjustRightInd/>
        <w:spacing w:line="580" w:lineRule="exact"/>
        <w:ind w:firstLine="0" w:firstLineChars="0"/>
        <w:jc w:val="center"/>
        <w:textAlignment w:val="auto"/>
        <w:rPr>
          <w:rFonts w:hint="eastAsia" w:ascii="方正仿宋_GBK" w:hAnsi="方正仿宋_GBK" w:eastAsia="方正仿宋_GBK" w:cs="方正仿宋_GBK"/>
          <w:b w:val="0"/>
          <w:bCs w:val="0"/>
          <w:color w:val="auto"/>
          <w:sz w:val="32"/>
          <w:szCs w:val="32"/>
        </w:rPr>
      </w:pPr>
      <w:bookmarkStart w:id="40" w:name="_Toc149727797"/>
      <w:r>
        <w:rPr>
          <w:rFonts w:hint="eastAsia" w:ascii="方正黑体_GBK" w:hAnsi="方正黑体_GBK" w:eastAsia="方正黑体_GBK" w:cs="方正黑体_GBK"/>
          <w:b w:val="0"/>
          <w:bCs w:val="0"/>
          <w:color w:val="auto"/>
          <w:sz w:val="32"/>
          <w:szCs w:val="32"/>
        </w:rPr>
        <w:t>第五章</w:t>
      </w:r>
      <w:r>
        <w:rPr>
          <w:rFonts w:hint="eastAsia" w:ascii="方正黑体_GBK" w:hAnsi="方正黑体_GBK" w:eastAsia="方正黑体_GBK" w:cs="方正黑体_GBK"/>
          <w:b w:val="0"/>
          <w:bCs w:val="0"/>
          <w:color w:val="auto"/>
          <w:sz w:val="32"/>
          <w:szCs w:val="32"/>
          <w:lang w:val="en-US" w:eastAsia="zh-CN"/>
        </w:rPr>
        <w:t xml:space="preserve">  </w:t>
      </w:r>
      <w:r>
        <w:rPr>
          <w:rFonts w:hint="eastAsia" w:ascii="方正黑体_GBK" w:hAnsi="方正黑体_GBK" w:eastAsia="方正黑体_GBK" w:cs="方正黑体_GBK"/>
          <w:b w:val="0"/>
          <w:bCs w:val="0"/>
          <w:color w:val="auto"/>
          <w:sz w:val="32"/>
          <w:szCs w:val="32"/>
        </w:rPr>
        <w:t>保障措施</w:t>
      </w:r>
      <w:bookmarkEnd w:id="40"/>
    </w:p>
    <w:p>
      <w:pPr>
        <w:keepNext w:val="0"/>
        <w:keepLines w:val="0"/>
        <w:pageBreakBefore w:val="0"/>
        <w:widowControl w:val="0"/>
        <w:kinsoku/>
        <w:wordWrap/>
        <w:overflowPunct/>
        <w:topLinePunct/>
        <w:autoSpaceDE/>
        <w:autoSpaceDN/>
        <w:bidi w:val="0"/>
        <w:adjustRightInd/>
        <w:spacing w:line="580" w:lineRule="exact"/>
        <w:ind w:firstLine="640"/>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坚持和完善生态文明制度，建立健全以生态保护为主体的湿地制度体系和保障措施，推进湿地保护与修复能力现代化。</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bookmarkStart w:id="41" w:name="_Toc149727798"/>
      <w:r>
        <w:rPr>
          <w:rFonts w:hint="eastAsia" w:ascii="方正楷体_GBK" w:hAnsi="方正楷体_GBK" w:eastAsia="方正楷体_GBK" w:cs="方正楷体_GBK"/>
          <w:b w:val="0"/>
          <w:bCs w:val="0"/>
          <w:color w:val="auto"/>
          <w:sz w:val="32"/>
          <w:szCs w:val="32"/>
        </w:rPr>
        <w:t xml:space="preserve">第一节 </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加强组织领导</w:t>
      </w:r>
      <w:bookmarkEnd w:id="41"/>
      <w:bookmarkStart w:id="42" w:name="_Hlk59522763"/>
    </w:p>
    <w:bookmarkEnd w:id="42"/>
    <w:p>
      <w:pPr>
        <w:keepNext w:val="0"/>
        <w:keepLines w:val="0"/>
        <w:pageBreakBefore w:val="0"/>
        <w:widowControl w:val="0"/>
        <w:kinsoku/>
        <w:wordWrap/>
        <w:overflowPunct/>
        <w:topLinePunct/>
        <w:autoSpaceDE/>
        <w:autoSpaceDN/>
        <w:bidi w:val="0"/>
        <w:adjustRightInd/>
        <w:spacing w:line="580" w:lineRule="exact"/>
        <w:ind w:firstLine="643"/>
        <w:textAlignment w:val="auto"/>
        <w:rPr>
          <w:rFonts w:hint="eastAsia" w:ascii="方正仿宋_GBK" w:hAnsi="方正仿宋_GBK" w:eastAsia="方正仿宋_GBK" w:cs="方正仿宋_GBK"/>
          <w:b w:val="0"/>
          <w:bCs w:val="0"/>
          <w:color w:val="auto"/>
          <w:sz w:val="32"/>
          <w:szCs w:val="32"/>
        </w:rPr>
      </w:pPr>
      <w:bookmarkStart w:id="43" w:name="_Toc149727799"/>
      <w:r>
        <w:rPr>
          <w:rFonts w:hint="eastAsia" w:ascii="方正仿宋_GBK" w:hAnsi="方正仿宋_GBK" w:eastAsia="方正仿宋_GBK" w:cs="方正仿宋_GBK"/>
          <w:b w:val="0"/>
          <w:bCs w:val="0"/>
          <w:color w:val="auto"/>
          <w:sz w:val="32"/>
          <w:szCs w:val="32"/>
        </w:rPr>
        <w:t>全面加强组织领导，确保工程顺利实施。盟</w:t>
      </w:r>
      <w:r>
        <w:rPr>
          <w:rFonts w:hint="eastAsia" w:ascii="方正仿宋_GBK" w:hAnsi="方正仿宋_GBK" w:eastAsia="方正仿宋_GBK" w:cs="方正仿宋_GBK"/>
          <w:b w:val="0"/>
          <w:bCs w:val="0"/>
          <w:color w:val="auto"/>
          <w:sz w:val="32"/>
          <w:szCs w:val="32"/>
          <w:lang w:eastAsia="zh-CN"/>
        </w:rPr>
        <w:t>行政公署、</w:t>
      </w:r>
      <w:r>
        <w:rPr>
          <w:rFonts w:hint="eastAsia" w:ascii="方正仿宋_GBK" w:hAnsi="方正仿宋_GBK" w:eastAsia="方正仿宋_GBK" w:cs="方正仿宋_GBK"/>
          <w:b w:val="0"/>
          <w:bCs w:val="0"/>
          <w:color w:val="auto"/>
          <w:sz w:val="32"/>
          <w:szCs w:val="32"/>
        </w:rPr>
        <w:t>市</w:t>
      </w:r>
      <w:r>
        <w:rPr>
          <w:rFonts w:hint="eastAsia" w:ascii="方正仿宋_GBK" w:hAnsi="方正仿宋_GBK" w:eastAsia="方正仿宋_GBK" w:cs="方正仿宋_GBK"/>
          <w:b w:val="0"/>
          <w:bCs w:val="0"/>
          <w:color w:val="auto"/>
          <w:sz w:val="32"/>
          <w:szCs w:val="32"/>
          <w:lang w:eastAsia="zh-CN"/>
        </w:rPr>
        <w:t>人民政府，</w:t>
      </w:r>
      <w:r>
        <w:rPr>
          <w:rFonts w:hint="eastAsia" w:ascii="方正仿宋_GBK" w:hAnsi="方正仿宋_GBK" w:eastAsia="方正仿宋_GBK" w:cs="方正仿宋_GBK"/>
          <w:b w:val="0"/>
          <w:bCs w:val="0"/>
          <w:color w:val="auto"/>
          <w:sz w:val="32"/>
          <w:szCs w:val="32"/>
        </w:rPr>
        <w:t>旗县</w:t>
      </w:r>
      <w:r>
        <w:rPr>
          <w:rFonts w:hint="eastAsia" w:ascii="方正仿宋_GBK" w:hAnsi="方正仿宋_GBK" w:eastAsia="方正仿宋_GBK" w:cs="方正仿宋_GBK"/>
          <w:b w:val="0"/>
          <w:bCs w:val="0"/>
          <w:color w:val="auto"/>
          <w:sz w:val="32"/>
          <w:szCs w:val="32"/>
          <w:lang w:eastAsia="zh-CN"/>
        </w:rPr>
        <w:t>（市、区）人民</w:t>
      </w:r>
      <w:r>
        <w:rPr>
          <w:rFonts w:hint="eastAsia" w:ascii="方正仿宋_GBK" w:hAnsi="方正仿宋_GBK" w:eastAsia="方正仿宋_GBK" w:cs="方正仿宋_GBK"/>
          <w:b w:val="0"/>
          <w:bCs w:val="0"/>
          <w:color w:val="auto"/>
          <w:sz w:val="32"/>
          <w:szCs w:val="32"/>
        </w:rPr>
        <w:t>政府要充分认识湿地保护与恢复对构筑祖国北方重要生态安全屏障的重要性，</w:t>
      </w:r>
      <w:r>
        <w:rPr>
          <w:rFonts w:hint="eastAsia" w:ascii="方正仿宋_GBK" w:hAnsi="方正仿宋_GBK" w:eastAsia="方正仿宋_GBK" w:cs="方正仿宋_GBK"/>
          <w:b w:val="0"/>
          <w:bCs w:val="0"/>
          <w:color w:val="auto"/>
          <w:sz w:val="32"/>
          <w:szCs w:val="32"/>
          <w:lang w:eastAsia="zh-CN"/>
        </w:rPr>
        <w:t>进一步</w:t>
      </w:r>
      <w:r>
        <w:rPr>
          <w:rFonts w:hint="eastAsia" w:ascii="方正仿宋_GBK" w:hAnsi="方正仿宋_GBK" w:eastAsia="方正仿宋_GBK" w:cs="方正仿宋_GBK"/>
          <w:b w:val="0"/>
          <w:bCs w:val="0"/>
          <w:color w:val="auto"/>
          <w:sz w:val="32"/>
          <w:szCs w:val="32"/>
        </w:rPr>
        <w:t>增强责任感和紧迫感，坚持和完善政府负责的重大工程建设领导机制，把湿地生态保护和恢复纳入当地国民经济和社会发展规划。各级林草、自然资源、水利、生态环境、住房城乡建设等有关部门按照职责分工</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承担湿地保护、修复、管理有关工作。加强对湿地保护与利用工作的组织领导,严格控制占用湿地，切实加强日常监督指导，建立健全湿地保护与利用的目标责任制</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履行好湿地保护修复的主体责任和日常监管责任。</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第二节</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 xml:space="preserve"> 强化制度建设</w:t>
      </w:r>
      <w:bookmarkEnd w:id="43"/>
    </w:p>
    <w:p>
      <w:pPr>
        <w:keepNext w:val="0"/>
        <w:keepLines w:val="0"/>
        <w:pageBreakBefore w:val="0"/>
        <w:widowControl w:val="0"/>
        <w:kinsoku/>
        <w:wordWrap/>
        <w:overflowPunct/>
        <w:topLinePunct/>
        <w:autoSpaceDE/>
        <w:autoSpaceDN/>
        <w:bidi w:val="0"/>
        <w:adjustRightInd/>
        <w:spacing w:line="580" w:lineRule="exact"/>
        <w:ind w:firstLine="643"/>
        <w:jc w:val="both"/>
        <w:textAlignment w:val="auto"/>
        <w:rPr>
          <w:rFonts w:hint="eastAsia" w:ascii="方正仿宋_GBK" w:hAnsi="方正仿宋_GBK" w:eastAsia="方正仿宋_GBK" w:cs="方正仿宋_GBK"/>
          <w:b w:val="0"/>
          <w:bCs w:val="0"/>
          <w:color w:val="auto"/>
          <w:sz w:val="32"/>
          <w:szCs w:val="32"/>
        </w:rPr>
      </w:pPr>
      <w:bookmarkStart w:id="44" w:name="_Toc149727800"/>
      <w:r>
        <w:rPr>
          <w:rFonts w:hint="eastAsia" w:ascii="方正仿宋_GBK" w:hAnsi="方正仿宋_GBK" w:eastAsia="方正仿宋_GBK" w:cs="方正仿宋_GBK"/>
          <w:b w:val="0"/>
          <w:bCs w:val="0"/>
          <w:color w:val="auto"/>
          <w:sz w:val="32"/>
          <w:szCs w:val="32"/>
        </w:rPr>
        <w:t>严格执行《</w:t>
      </w:r>
      <w:r>
        <w:rPr>
          <w:rFonts w:hint="eastAsia" w:ascii="方正仿宋_GBK" w:hAnsi="方正仿宋_GBK" w:eastAsia="方正仿宋_GBK" w:cs="方正仿宋_GBK"/>
          <w:b w:val="0"/>
          <w:bCs w:val="0"/>
          <w:color w:val="auto"/>
          <w:sz w:val="32"/>
          <w:szCs w:val="32"/>
          <w:lang w:eastAsia="zh-CN"/>
        </w:rPr>
        <w:t>中华人民共和国</w:t>
      </w:r>
      <w:r>
        <w:rPr>
          <w:rFonts w:hint="eastAsia" w:ascii="方正仿宋_GBK" w:hAnsi="方正仿宋_GBK" w:eastAsia="方正仿宋_GBK" w:cs="方正仿宋_GBK"/>
          <w:b w:val="0"/>
          <w:bCs w:val="0"/>
          <w:color w:val="auto"/>
          <w:sz w:val="32"/>
          <w:szCs w:val="32"/>
        </w:rPr>
        <w:t>湿地保护法》等法律</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法规，加大执法司法工作力度，让严格的法律责任落到实处。广泛运用线上线下多种途径开展宣传解读和培训，增强全民湿地保护法律意识，形成知法守法、依法保护的湿地保护新局面。积极</w:t>
      </w:r>
      <w:r>
        <w:rPr>
          <w:rFonts w:hint="eastAsia" w:ascii="方正仿宋_GBK" w:hAnsi="方正仿宋_GBK" w:eastAsia="方正仿宋_GBK" w:cs="方正仿宋_GBK"/>
          <w:b w:val="0"/>
          <w:bCs w:val="0"/>
          <w:color w:val="auto"/>
          <w:sz w:val="32"/>
          <w:szCs w:val="32"/>
          <w:lang w:eastAsia="zh-CN"/>
        </w:rPr>
        <w:t>推动</w:t>
      </w:r>
      <w:r>
        <w:rPr>
          <w:rFonts w:hint="eastAsia" w:ascii="方正仿宋_GBK" w:hAnsi="方正仿宋_GBK" w:eastAsia="方正仿宋_GBK" w:cs="方正仿宋_GBK"/>
          <w:b w:val="0"/>
          <w:bCs w:val="0"/>
          <w:color w:val="auto"/>
          <w:sz w:val="32"/>
          <w:szCs w:val="32"/>
        </w:rPr>
        <w:t>修订</w:t>
      </w:r>
      <w:r>
        <w:rPr>
          <w:rFonts w:hint="eastAsia" w:ascii="方正仿宋_GBK" w:hAnsi="方正仿宋_GBK" w:eastAsia="方正仿宋_GBK" w:cs="方正仿宋_GBK"/>
          <w:b w:val="0"/>
          <w:bCs w:val="0"/>
          <w:color w:val="auto"/>
          <w:spacing w:val="-6"/>
          <w:sz w:val="32"/>
          <w:szCs w:val="32"/>
        </w:rPr>
        <w:t>《内蒙古自治区湿地保护条例》，加强国土空间用途管控、生态保</w:t>
      </w:r>
      <w:r>
        <w:rPr>
          <w:rFonts w:hint="eastAsia" w:ascii="方正仿宋_GBK" w:hAnsi="方正仿宋_GBK" w:eastAsia="方正仿宋_GBK" w:cs="方正仿宋_GBK"/>
          <w:b w:val="0"/>
          <w:bCs w:val="0"/>
          <w:color w:val="auto"/>
          <w:sz w:val="32"/>
          <w:szCs w:val="32"/>
        </w:rPr>
        <w:t>护红线管理，</w:t>
      </w:r>
      <w:r>
        <w:rPr>
          <w:rFonts w:hint="eastAsia" w:ascii="方正仿宋_GBK" w:hAnsi="方正仿宋_GBK" w:eastAsia="方正仿宋_GBK" w:cs="方正仿宋_GBK"/>
          <w:b w:val="0"/>
          <w:bCs w:val="0"/>
          <w:color w:val="auto"/>
          <w:sz w:val="32"/>
          <w:szCs w:val="32"/>
          <w:lang w:eastAsia="zh-CN"/>
        </w:rPr>
        <w:t>依法依规</w:t>
      </w:r>
      <w:r>
        <w:rPr>
          <w:rFonts w:hint="eastAsia" w:ascii="方正仿宋_GBK" w:hAnsi="方正仿宋_GBK" w:eastAsia="方正仿宋_GBK" w:cs="方正仿宋_GBK"/>
          <w:b w:val="0"/>
          <w:bCs w:val="0"/>
          <w:color w:val="auto"/>
          <w:sz w:val="32"/>
          <w:szCs w:val="32"/>
        </w:rPr>
        <w:t>加大破坏湿地行为执法查处力度，严禁随意侵占湿地和随意改变湿地用途。</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lang w:eastAsia="zh-CN"/>
        </w:rPr>
      </w:pPr>
      <w:r>
        <w:rPr>
          <w:rFonts w:hint="eastAsia" w:ascii="方正楷体_GBK" w:hAnsi="方正楷体_GBK" w:eastAsia="方正楷体_GBK" w:cs="方正楷体_GBK"/>
          <w:b w:val="0"/>
          <w:bCs w:val="0"/>
          <w:color w:val="auto"/>
          <w:sz w:val="32"/>
          <w:szCs w:val="32"/>
        </w:rPr>
        <w:t xml:space="preserve">第三节 </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加大政策支持</w:t>
      </w:r>
      <w:bookmarkEnd w:id="44"/>
      <w:r>
        <w:rPr>
          <w:rFonts w:hint="eastAsia" w:ascii="方正楷体_GBK" w:hAnsi="方正楷体_GBK" w:eastAsia="方正楷体_GBK" w:cs="方正楷体_GBK"/>
          <w:b w:val="0"/>
          <w:bCs w:val="0"/>
          <w:color w:val="auto"/>
          <w:sz w:val="32"/>
          <w:szCs w:val="32"/>
          <w:lang w:eastAsia="zh-CN"/>
        </w:rPr>
        <w:t>力度</w:t>
      </w:r>
    </w:p>
    <w:p>
      <w:pPr>
        <w:keepNext w:val="0"/>
        <w:keepLines w:val="0"/>
        <w:pageBreakBefore w:val="0"/>
        <w:widowControl w:val="0"/>
        <w:kinsoku/>
        <w:wordWrap/>
        <w:overflowPunct/>
        <w:topLinePunct/>
        <w:autoSpaceDE/>
        <w:autoSpaceDN/>
        <w:bidi w:val="0"/>
        <w:adjustRightInd/>
        <w:spacing w:line="580" w:lineRule="exact"/>
        <w:ind w:firstLine="643"/>
        <w:textAlignment w:val="auto"/>
        <w:rPr>
          <w:rFonts w:hint="eastAsia" w:ascii="方正仿宋_GBK" w:hAnsi="方正仿宋_GBK" w:eastAsia="方正仿宋_GBK" w:cs="方正仿宋_GBK"/>
          <w:b w:val="0"/>
          <w:bCs w:val="0"/>
          <w:color w:val="auto"/>
          <w:sz w:val="32"/>
          <w:szCs w:val="32"/>
        </w:rPr>
      </w:pPr>
      <w:bookmarkStart w:id="45" w:name="_Toc149727801"/>
      <w:r>
        <w:rPr>
          <w:rFonts w:hint="eastAsia" w:ascii="方正仿宋_GBK" w:hAnsi="方正仿宋_GBK" w:eastAsia="方正仿宋_GBK" w:cs="方正仿宋_GBK"/>
          <w:b w:val="0"/>
          <w:bCs w:val="0"/>
          <w:color w:val="auto"/>
          <w:sz w:val="32"/>
          <w:szCs w:val="32"/>
        </w:rPr>
        <w:t>按照“政府主导、社会参与”的原则</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完善以公共财政为主、多元化投入的湿地保护修复投入政策</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为促进生态恢复提供资金保障。积极争取国家、相关基金会、银行对自治区湿地保护与修复的投入。同时，</w:t>
      </w:r>
      <w:r>
        <w:rPr>
          <w:rFonts w:hint="eastAsia" w:ascii="方正仿宋_GBK" w:hAnsi="方正仿宋_GBK" w:eastAsia="方正仿宋_GBK" w:cs="方正仿宋_GBK"/>
          <w:b w:val="0"/>
          <w:bCs w:val="0"/>
          <w:color w:val="auto"/>
          <w:sz w:val="32"/>
          <w:szCs w:val="32"/>
          <w:lang w:eastAsia="zh-CN"/>
        </w:rPr>
        <w:t>旗县</w:t>
      </w:r>
      <w:r>
        <w:rPr>
          <w:rFonts w:hint="eastAsia" w:ascii="方正仿宋_GBK" w:hAnsi="方正仿宋_GBK" w:eastAsia="方正仿宋_GBK" w:cs="方正仿宋_GBK"/>
          <w:b w:val="0"/>
          <w:bCs w:val="0"/>
          <w:color w:val="auto"/>
          <w:sz w:val="32"/>
          <w:szCs w:val="32"/>
        </w:rPr>
        <w:t>级</w:t>
      </w:r>
      <w:r>
        <w:rPr>
          <w:rFonts w:hint="eastAsia" w:ascii="方正仿宋_GBK" w:hAnsi="方正仿宋_GBK" w:eastAsia="方正仿宋_GBK" w:cs="方正仿宋_GBK"/>
          <w:b w:val="0"/>
          <w:bCs w:val="0"/>
          <w:color w:val="auto"/>
          <w:sz w:val="32"/>
          <w:szCs w:val="32"/>
          <w:lang w:eastAsia="zh-CN"/>
        </w:rPr>
        <w:t>以上人民</w:t>
      </w:r>
      <w:r>
        <w:rPr>
          <w:rFonts w:hint="eastAsia" w:ascii="方正仿宋_GBK" w:hAnsi="方正仿宋_GBK" w:eastAsia="方正仿宋_GBK" w:cs="方正仿宋_GBK"/>
          <w:b w:val="0"/>
          <w:bCs w:val="0"/>
          <w:color w:val="auto"/>
          <w:sz w:val="32"/>
          <w:szCs w:val="32"/>
        </w:rPr>
        <w:t>政府应当将开展湿地保护工作所需经费按照事权划分原则列入预算。鼓励和引导社会资本参与湿地保护和修复。</w:t>
      </w:r>
    </w:p>
    <w:p>
      <w:pPr>
        <w:pStyle w:val="2"/>
        <w:keepNext w:val="0"/>
        <w:keepLines w:val="0"/>
        <w:pageBreakBefore w:val="0"/>
        <w:widowControl w:val="0"/>
        <w:kinsoku/>
        <w:wordWrap/>
        <w:overflowPunct/>
        <w:topLinePunct/>
        <w:autoSpaceDE/>
        <w:autoSpaceDN/>
        <w:bidi w:val="0"/>
        <w:adjustRightInd/>
        <w:snapToGrid w:val="0"/>
        <w:spacing w:before="313" w:beforeLines="100" w:after="313" w:afterLines="100" w:line="580" w:lineRule="exact"/>
        <w:ind w:firstLine="0" w:firstLineChars="0"/>
        <w:textAlignment w:val="auto"/>
        <w:rPr>
          <w:rFonts w:hint="eastAsia" w:ascii="方正楷体_GBK" w:hAnsi="方正楷体_GBK" w:eastAsia="方正楷体_GBK" w:cs="方正楷体_GBK"/>
          <w:b w:val="0"/>
          <w:bCs w:val="0"/>
          <w:color w:val="auto"/>
          <w:sz w:val="32"/>
          <w:szCs w:val="32"/>
        </w:rPr>
      </w:pPr>
      <w:r>
        <w:rPr>
          <w:rFonts w:hint="eastAsia" w:ascii="方正楷体_GBK" w:hAnsi="方正楷体_GBK" w:eastAsia="方正楷体_GBK" w:cs="方正楷体_GBK"/>
          <w:b w:val="0"/>
          <w:bCs w:val="0"/>
          <w:color w:val="auto"/>
          <w:sz w:val="32"/>
          <w:szCs w:val="32"/>
        </w:rPr>
        <w:t>第四节</w:t>
      </w:r>
      <w:r>
        <w:rPr>
          <w:rFonts w:hint="eastAsia" w:ascii="方正楷体_GBK" w:hAnsi="方正楷体_GBK" w:eastAsia="方正楷体_GBK" w:cs="方正楷体_GBK"/>
          <w:b w:val="0"/>
          <w:bCs w:val="0"/>
          <w:color w:val="auto"/>
          <w:sz w:val="32"/>
          <w:szCs w:val="32"/>
          <w:lang w:val="en-US" w:eastAsia="zh-CN"/>
        </w:rPr>
        <w:t xml:space="preserve"> </w:t>
      </w:r>
      <w:r>
        <w:rPr>
          <w:rFonts w:hint="eastAsia" w:ascii="方正楷体_GBK" w:hAnsi="方正楷体_GBK" w:eastAsia="方正楷体_GBK" w:cs="方正楷体_GBK"/>
          <w:b w:val="0"/>
          <w:bCs w:val="0"/>
          <w:color w:val="auto"/>
          <w:sz w:val="32"/>
          <w:szCs w:val="32"/>
        </w:rPr>
        <w:t xml:space="preserve"> 营造良好社会氛围</w:t>
      </w:r>
      <w:bookmarkEnd w:id="45"/>
    </w:p>
    <w:bookmarkEnd w:id="12"/>
    <w:bookmarkEnd w:id="13"/>
    <w:p>
      <w:pPr>
        <w:keepNext w:val="0"/>
        <w:keepLines w:val="0"/>
        <w:pageBreakBefore w:val="0"/>
        <w:widowControl w:val="0"/>
        <w:kinsoku/>
        <w:wordWrap/>
        <w:overflowPunct/>
        <w:topLinePunct/>
        <w:autoSpaceDE/>
        <w:autoSpaceDN/>
        <w:bidi w:val="0"/>
        <w:adjustRightInd/>
        <w:snapToGrid/>
        <w:spacing w:line="580" w:lineRule="exact"/>
        <w:ind w:firstLine="643"/>
        <w:textAlignment w:val="auto"/>
        <w:rPr>
          <w:rFonts w:hint="eastAsia" w:ascii="方正仿宋_GBK" w:hAnsi="方正仿宋_GBK" w:eastAsia="方正仿宋_GBK" w:cs="方正仿宋_GBK"/>
          <w:b w:val="0"/>
          <w:bCs w:val="0"/>
          <w:color w:val="auto"/>
          <w:sz w:val="32"/>
          <w:szCs w:val="32"/>
        </w:rPr>
      </w:pPr>
      <w:r>
        <w:rPr>
          <w:rFonts w:hint="eastAsia" w:ascii="方正仿宋_GBK" w:hAnsi="方正仿宋_GBK" w:eastAsia="方正仿宋_GBK" w:cs="方正仿宋_GBK"/>
          <w:b w:val="0"/>
          <w:bCs w:val="0"/>
          <w:color w:val="auto"/>
          <w:sz w:val="32"/>
          <w:szCs w:val="32"/>
        </w:rPr>
        <w:t>各地区各部门要加大</w:t>
      </w:r>
      <w:r>
        <w:rPr>
          <w:rFonts w:hint="eastAsia" w:ascii="方正仿宋_GBK" w:hAnsi="方正仿宋_GBK" w:eastAsia="方正仿宋_GBK" w:cs="方正仿宋_GBK"/>
          <w:b w:val="0"/>
          <w:bCs w:val="0"/>
          <w:color w:val="auto"/>
          <w:sz w:val="32"/>
          <w:szCs w:val="32"/>
          <w:lang w:eastAsia="zh-CN"/>
        </w:rPr>
        <w:t>面向</w:t>
      </w:r>
      <w:r>
        <w:rPr>
          <w:rFonts w:hint="eastAsia" w:ascii="方正仿宋_GBK" w:hAnsi="方正仿宋_GBK" w:eastAsia="方正仿宋_GBK" w:cs="方正仿宋_GBK"/>
          <w:b w:val="0"/>
          <w:bCs w:val="0"/>
          <w:color w:val="auto"/>
          <w:sz w:val="32"/>
          <w:szCs w:val="32"/>
        </w:rPr>
        <w:t>社会公众</w:t>
      </w:r>
      <w:r>
        <w:rPr>
          <w:rFonts w:hint="eastAsia" w:ascii="方正仿宋_GBK" w:hAnsi="方正仿宋_GBK" w:eastAsia="方正仿宋_GBK" w:cs="方正仿宋_GBK"/>
          <w:b w:val="0"/>
          <w:bCs w:val="0"/>
          <w:color w:val="auto"/>
          <w:sz w:val="32"/>
          <w:szCs w:val="32"/>
          <w:lang w:eastAsia="zh-CN"/>
        </w:rPr>
        <w:t>的</w:t>
      </w:r>
      <w:r>
        <w:rPr>
          <w:rFonts w:hint="eastAsia" w:ascii="方正仿宋_GBK" w:hAnsi="方正仿宋_GBK" w:eastAsia="方正仿宋_GBK" w:cs="方正仿宋_GBK"/>
          <w:b w:val="0"/>
          <w:bCs w:val="0"/>
          <w:color w:val="auto"/>
          <w:sz w:val="32"/>
          <w:szCs w:val="32"/>
        </w:rPr>
        <w:t>宣传</w:t>
      </w:r>
      <w:r>
        <w:rPr>
          <w:rFonts w:hint="eastAsia" w:ascii="方正仿宋_GBK" w:hAnsi="方正仿宋_GBK" w:eastAsia="方正仿宋_GBK" w:cs="方正仿宋_GBK"/>
          <w:b w:val="0"/>
          <w:bCs w:val="0"/>
          <w:color w:val="auto"/>
          <w:sz w:val="32"/>
          <w:szCs w:val="32"/>
          <w:lang w:eastAsia="zh-CN"/>
        </w:rPr>
        <w:t>力度</w:t>
      </w:r>
      <w:r>
        <w:rPr>
          <w:rFonts w:hint="eastAsia" w:ascii="方正仿宋_GBK" w:hAnsi="方正仿宋_GBK" w:eastAsia="方正仿宋_GBK" w:cs="方正仿宋_GBK"/>
          <w:b w:val="0"/>
          <w:bCs w:val="0"/>
          <w:color w:val="auto"/>
          <w:sz w:val="32"/>
          <w:szCs w:val="32"/>
        </w:rPr>
        <w:t>，围绕湿地保护主题，丰富宣传教育和知识普及内容，拓宽宣教途径。建立</w:t>
      </w:r>
      <w:r>
        <w:rPr>
          <w:rFonts w:hint="eastAsia" w:ascii="方正仿宋_GBK" w:hAnsi="方正仿宋_GBK" w:eastAsia="方正仿宋_GBK" w:cs="方正仿宋_GBK"/>
          <w:b w:val="0"/>
          <w:bCs w:val="0"/>
          <w:color w:val="auto"/>
          <w:sz w:val="32"/>
          <w:szCs w:val="32"/>
          <w:lang w:eastAsia="zh-CN"/>
        </w:rPr>
        <w:t>健全</w:t>
      </w:r>
      <w:r>
        <w:rPr>
          <w:rFonts w:hint="eastAsia" w:ascii="方正仿宋_GBK" w:hAnsi="方正仿宋_GBK" w:eastAsia="方正仿宋_GBK" w:cs="方正仿宋_GBK"/>
          <w:b w:val="0"/>
          <w:bCs w:val="0"/>
          <w:color w:val="auto"/>
          <w:sz w:val="32"/>
          <w:szCs w:val="32"/>
        </w:rPr>
        <w:t>相关部门协调机制，加强信息公开、新闻发布、政策解读、舆论引导工作。结合</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世界湿地日</w:t>
      </w:r>
      <w:r>
        <w:rPr>
          <w:rFonts w:hint="eastAsia" w:ascii="方正仿宋_GBK" w:hAnsi="方正仿宋_GBK" w:eastAsia="方正仿宋_GBK" w:cs="方正仿宋_GBK"/>
          <w:b w:val="0"/>
          <w:bCs w:val="0"/>
          <w:color w:val="auto"/>
          <w:sz w:val="32"/>
          <w:szCs w:val="32"/>
          <w:lang w:eastAsia="zh-CN"/>
        </w:rPr>
        <w:t>”</w:t>
      </w:r>
      <w:r>
        <w:rPr>
          <w:rFonts w:hint="eastAsia" w:ascii="方正仿宋_GBK" w:hAnsi="方正仿宋_GBK" w:eastAsia="方正仿宋_GBK" w:cs="方正仿宋_GBK"/>
          <w:b w:val="0"/>
          <w:bCs w:val="0"/>
          <w:color w:val="auto"/>
          <w:sz w:val="32"/>
          <w:szCs w:val="32"/>
        </w:rPr>
        <w:t>等开展宣传教育活动，增强全社会湿地保护意识。创新公众参与模式，适度开放自然教育和生态体验领域，推动生态工程全民共建、生态产品全民共享，提高社会大众自然保护的参与度和获得感。鼓励基层群众性自治组织、社会组织、志愿者开展湿地保护宣传活动，营造全社会保护湿地的良好氛围。</w:t>
      </w:r>
    </w:p>
    <w:p>
      <w:pPr>
        <w:keepNext w:val="0"/>
        <w:keepLines w:val="0"/>
        <w:pageBreakBefore w:val="0"/>
        <w:widowControl w:val="0"/>
        <w:kinsoku/>
        <w:wordWrap/>
        <w:overflowPunct/>
        <w:autoSpaceDE/>
        <w:autoSpaceDN/>
        <w:bidi w:val="0"/>
        <w:adjustRightInd/>
        <w:snapToGrid/>
        <w:spacing w:line="580" w:lineRule="exact"/>
        <w:textAlignment w:val="auto"/>
        <w:rPr>
          <w:rFonts w:hint="eastAsia"/>
        </w:rPr>
      </w:pPr>
    </w:p>
    <w:p>
      <w:pPr>
        <w:keepNext w:val="0"/>
        <w:keepLines w:val="0"/>
        <w:pageBreakBefore w:val="0"/>
        <w:widowControl w:val="0"/>
        <w:kinsoku/>
        <w:wordWrap/>
        <w:overflowPunct/>
        <w:topLinePunct/>
        <w:autoSpaceDE/>
        <w:autoSpaceDN/>
        <w:bidi w:val="0"/>
        <w:adjustRightInd/>
        <w:snapToGrid/>
        <w:spacing w:line="580" w:lineRule="exact"/>
        <w:ind w:firstLine="640" w:firstLineChars="200"/>
        <w:textAlignment w:val="auto"/>
        <w:rPr>
          <w:rFonts w:hint="eastAsia" w:ascii="方正仿宋_GBK" w:hAnsi="方正仿宋_GBK" w:eastAsia="方正仿宋_GBK" w:cs="方正仿宋_GBK"/>
          <w:b w:val="0"/>
          <w:bCs w:val="0"/>
          <w:smallCaps/>
          <w:color w:val="auto"/>
          <w:sz w:val="32"/>
          <w:szCs w:val="32"/>
        </w:rPr>
      </w:pPr>
      <w:r>
        <w:rPr>
          <w:rFonts w:hint="eastAsia" w:ascii="方正仿宋_GBK" w:hAnsi="方正仿宋_GBK" w:eastAsia="方正仿宋_GBK" w:cs="方正仿宋_GBK"/>
          <w:b w:val="0"/>
          <w:bCs w:val="0"/>
          <w:smallCaps/>
          <w:color w:val="auto"/>
          <w:sz w:val="32"/>
          <w:szCs w:val="32"/>
        </w:rPr>
        <w:t>附</w:t>
      </w:r>
      <w:r>
        <w:rPr>
          <w:rFonts w:hint="eastAsia" w:ascii="方正仿宋_GBK" w:hAnsi="方正仿宋_GBK" w:eastAsia="方正仿宋_GBK" w:cs="方正仿宋_GBK"/>
          <w:b w:val="0"/>
          <w:bCs w:val="0"/>
          <w:smallCaps/>
          <w:color w:val="auto"/>
          <w:sz w:val="32"/>
          <w:szCs w:val="32"/>
          <w:lang w:eastAsia="zh-CN"/>
        </w:rPr>
        <w:t>件</w:t>
      </w:r>
      <w:r>
        <w:rPr>
          <w:rFonts w:hint="eastAsia" w:ascii="方正仿宋_GBK" w:hAnsi="方正仿宋_GBK" w:eastAsia="方正仿宋_GBK" w:cs="方正仿宋_GBK"/>
          <w:b w:val="0"/>
          <w:bCs w:val="0"/>
          <w:smallCaps/>
          <w:color w:val="auto"/>
          <w:sz w:val="32"/>
          <w:szCs w:val="32"/>
        </w:rPr>
        <w:t>：1.内蒙古自治区湿地资源分布图</w:t>
      </w:r>
    </w:p>
    <w:p>
      <w:pPr>
        <w:keepNext w:val="0"/>
        <w:keepLines w:val="0"/>
        <w:pageBreakBefore w:val="0"/>
        <w:widowControl w:val="0"/>
        <w:kinsoku/>
        <w:wordWrap/>
        <w:overflowPunct/>
        <w:topLinePunct/>
        <w:autoSpaceDE/>
        <w:autoSpaceDN/>
        <w:bidi w:val="0"/>
        <w:adjustRightInd/>
        <w:spacing w:line="580" w:lineRule="exact"/>
        <w:ind w:firstLine="1612" w:firstLineChars="504"/>
        <w:textAlignment w:val="auto"/>
        <w:rPr>
          <w:rFonts w:hint="eastAsia" w:ascii="方正仿宋_GBK" w:hAnsi="方正仿宋_GBK" w:eastAsia="方正仿宋_GBK" w:cs="方正仿宋_GBK"/>
          <w:b w:val="0"/>
          <w:bCs w:val="0"/>
          <w:smallCaps/>
          <w:color w:val="auto"/>
          <w:sz w:val="32"/>
          <w:szCs w:val="32"/>
        </w:rPr>
      </w:pPr>
      <w:r>
        <w:rPr>
          <w:rFonts w:hint="eastAsia" w:ascii="方正仿宋_GBK" w:hAnsi="方正仿宋_GBK" w:eastAsia="方正仿宋_GBK" w:cs="方正仿宋_GBK"/>
          <w:b w:val="0"/>
          <w:bCs w:val="0"/>
          <w:smallCaps/>
          <w:color w:val="auto"/>
          <w:sz w:val="32"/>
          <w:szCs w:val="32"/>
        </w:rPr>
        <w:t>2.内蒙古自治区重要湿地分布图</w:t>
      </w:r>
    </w:p>
    <w:p>
      <w:pPr>
        <w:keepNext w:val="0"/>
        <w:keepLines w:val="0"/>
        <w:pageBreakBefore w:val="0"/>
        <w:widowControl w:val="0"/>
        <w:kinsoku/>
        <w:wordWrap/>
        <w:overflowPunct/>
        <w:topLinePunct/>
        <w:autoSpaceDE/>
        <w:autoSpaceDN/>
        <w:bidi w:val="0"/>
        <w:adjustRightInd/>
        <w:spacing w:line="580" w:lineRule="exact"/>
        <w:ind w:firstLine="1612" w:firstLineChars="504"/>
        <w:textAlignment w:val="auto"/>
        <w:rPr>
          <w:rFonts w:hint="eastAsia" w:ascii="方正仿宋_GBK" w:hAnsi="方正仿宋_GBK" w:eastAsia="方正仿宋_GBK" w:cs="方正仿宋_GBK"/>
          <w:b w:val="0"/>
          <w:bCs w:val="0"/>
          <w:smallCaps/>
          <w:color w:val="auto"/>
          <w:sz w:val="32"/>
          <w:szCs w:val="32"/>
        </w:rPr>
      </w:pPr>
      <w:r>
        <w:rPr>
          <w:rFonts w:hint="eastAsia" w:ascii="方正仿宋_GBK" w:hAnsi="方正仿宋_GBK" w:eastAsia="方正仿宋_GBK" w:cs="方正仿宋_GBK"/>
          <w:b w:val="0"/>
          <w:bCs w:val="0"/>
          <w:smallCaps/>
          <w:color w:val="auto"/>
          <w:sz w:val="32"/>
          <w:szCs w:val="32"/>
        </w:rPr>
        <w:t>3.内蒙古自治区湿地保护规划布局图</w:t>
      </w:r>
    </w:p>
    <w:p>
      <w:pPr>
        <w:keepNext w:val="0"/>
        <w:keepLines w:val="0"/>
        <w:pageBreakBefore w:val="0"/>
        <w:widowControl w:val="0"/>
        <w:kinsoku/>
        <w:wordWrap/>
        <w:overflowPunct/>
        <w:topLinePunct/>
        <w:autoSpaceDE/>
        <w:autoSpaceDN/>
        <w:bidi w:val="0"/>
        <w:adjustRightInd/>
        <w:spacing w:line="580" w:lineRule="exact"/>
        <w:ind w:left="1916" w:leftChars="760" w:hanging="320" w:hangingChars="100"/>
        <w:textAlignment w:val="auto"/>
        <w:rPr>
          <w:rFonts w:hint="eastAsia" w:ascii="方正仿宋_GBK" w:hAnsi="方正仿宋_GBK" w:eastAsia="方正仿宋_GBK" w:cs="方正仿宋_GBK"/>
          <w:b w:val="0"/>
          <w:bCs w:val="0"/>
          <w:smallCaps/>
          <w:color w:val="auto"/>
          <w:sz w:val="32"/>
          <w:szCs w:val="32"/>
        </w:rPr>
      </w:pPr>
      <w:r>
        <w:rPr>
          <w:rFonts w:hint="eastAsia" w:ascii="方正仿宋_GBK" w:hAnsi="方正仿宋_GBK" w:eastAsia="方正仿宋_GBK" w:cs="方正仿宋_GBK"/>
          <w:b w:val="0"/>
          <w:bCs w:val="0"/>
          <w:smallCaps/>
          <w:color w:val="auto"/>
          <w:sz w:val="32"/>
          <w:szCs w:val="32"/>
        </w:rPr>
        <w:t>4.</w:t>
      </w:r>
      <w:r>
        <w:rPr>
          <w:rFonts w:hint="eastAsia" w:ascii="方正仿宋_GBK" w:hAnsi="方正仿宋_GBK" w:eastAsia="方正仿宋_GBK" w:cs="方正仿宋_GBK"/>
          <w:b w:val="0"/>
          <w:bCs w:val="0"/>
          <w:caps w:val="0"/>
          <w:smallCaps/>
          <w:color w:val="auto"/>
          <w:spacing w:val="6"/>
          <w:sz w:val="32"/>
          <w:szCs w:val="32"/>
        </w:rPr>
        <w:t>嫩江与额尔古纳河湿地生态保护恢复区湿地资源</w:t>
      </w:r>
      <w:r>
        <w:rPr>
          <w:rFonts w:hint="eastAsia" w:ascii="方正仿宋_GBK" w:hAnsi="方正仿宋_GBK" w:eastAsia="方正仿宋_GBK" w:cs="方正仿宋_GBK"/>
          <w:b w:val="0"/>
          <w:bCs w:val="0"/>
          <w:smallCaps/>
          <w:color w:val="auto"/>
          <w:sz w:val="32"/>
          <w:szCs w:val="32"/>
        </w:rPr>
        <w:t>分布图</w:t>
      </w:r>
    </w:p>
    <w:p>
      <w:pPr>
        <w:keepNext w:val="0"/>
        <w:keepLines w:val="0"/>
        <w:pageBreakBefore w:val="0"/>
        <w:widowControl w:val="0"/>
        <w:kinsoku/>
        <w:wordWrap/>
        <w:overflowPunct/>
        <w:topLinePunct/>
        <w:autoSpaceDE/>
        <w:autoSpaceDN/>
        <w:bidi w:val="0"/>
        <w:adjustRightInd/>
        <w:spacing w:line="580" w:lineRule="exact"/>
        <w:ind w:firstLine="1612" w:firstLineChars="504"/>
        <w:textAlignment w:val="auto"/>
        <w:rPr>
          <w:rFonts w:hint="eastAsia" w:ascii="方正仿宋_GBK" w:hAnsi="方正仿宋_GBK" w:eastAsia="方正仿宋_GBK" w:cs="方正仿宋_GBK"/>
          <w:b w:val="0"/>
          <w:bCs w:val="0"/>
          <w:smallCaps/>
          <w:color w:val="auto"/>
          <w:sz w:val="32"/>
          <w:szCs w:val="32"/>
        </w:rPr>
      </w:pPr>
      <w:r>
        <w:rPr>
          <w:rFonts w:hint="eastAsia" w:ascii="方正仿宋_GBK" w:hAnsi="方正仿宋_GBK" w:eastAsia="方正仿宋_GBK" w:cs="方正仿宋_GBK"/>
          <w:b w:val="0"/>
          <w:bCs w:val="0"/>
          <w:smallCaps/>
          <w:color w:val="auto"/>
          <w:sz w:val="32"/>
          <w:szCs w:val="32"/>
        </w:rPr>
        <w:t>5.西辽河湿地生态保护修复区湿地资源分布图</w:t>
      </w:r>
    </w:p>
    <w:p>
      <w:pPr>
        <w:keepNext w:val="0"/>
        <w:keepLines w:val="0"/>
        <w:pageBreakBefore w:val="0"/>
        <w:widowControl w:val="0"/>
        <w:kinsoku/>
        <w:wordWrap/>
        <w:overflowPunct/>
        <w:topLinePunct/>
        <w:autoSpaceDE/>
        <w:autoSpaceDN/>
        <w:bidi w:val="0"/>
        <w:adjustRightInd/>
        <w:spacing w:line="580" w:lineRule="exact"/>
        <w:ind w:firstLine="1612" w:firstLineChars="504"/>
        <w:textAlignment w:val="auto"/>
        <w:rPr>
          <w:rFonts w:hint="eastAsia" w:ascii="方正仿宋_GBK" w:hAnsi="方正仿宋_GBK" w:eastAsia="方正仿宋_GBK" w:cs="方正仿宋_GBK"/>
          <w:b w:val="0"/>
          <w:bCs w:val="0"/>
          <w:smallCaps/>
          <w:color w:val="auto"/>
          <w:sz w:val="32"/>
          <w:szCs w:val="32"/>
        </w:rPr>
      </w:pPr>
      <w:r>
        <w:rPr>
          <w:rFonts w:hint="eastAsia" w:ascii="方正仿宋_GBK" w:hAnsi="方正仿宋_GBK" w:eastAsia="方正仿宋_GBK" w:cs="方正仿宋_GBK"/>
          <w:b w:val="0"/>
          <w:bCs w:val="0"/>
          <w:smallCaps/>
          <w:color w:val="auto"/>
          <w:sz w:val="32"/>
          <w:szCs w:val="32"/>
        </w:rPr>
        <w:t>6.</w:t>
      </w:r>
      <w:r>
        <w:rPr>
          <w:rFonts w:hint="eastAsia" w:ascii="方正仿宋_GBK" w:hAnsi="方正仿宋_GBK" w:eastAsia="方正仿宋_GBK" w:cs="方正仿宋_GBK"/>
          <w:b w:val="0"/>
          <w:bCs w:val="0"/>
          <w:color w:val="auto"/>
          <w:sz w:val="32"/>
          <w:szCs w:val="32"/>
        </w:rPr>
        <w:t>滦河与永定河湿地生态保护区</w:t>
      </w:r>
      <w:r>
        <w:rPr>
          <w:rFonts w:hint="eastAsia" w:ascii="方正仿宋_GBK" w:hAnsi="方正仿宋_GBK" w:eastAsia="方正仿宋_GBK" w:cs="方正仿宋_GBK"/>
          <w:b w:val="0"/>
          <w:bCs w:val="0"/>
          <w:smallCaps/>
          <w:color w:val="auto"/>
          <w:sz w:val="32"/>
          <w:szCs w:val="32"/>
        </w:rPr>
        <w:t>湿地资源分布图</w:t>
      </w:r>
    </w:p>
    <w:p>
      <w:pPr>
        <w:keepNext w:val="0"/>
        <w:keepLines w:val="0"/>
        <w:pageBreakBefore w:val="0"/>
        <w:widowControl w:val="0"/>
        <w:kinsoku/>
        <w:wordWrap/>
        <w:overflowPunct/>
        <w:topLinePunct/>
        <w:autoSpaceDE/>
        <w:autoSpaceDN/>
        <w:bidi w:val="0"/>
        <w:adjustRightInd/>
        <w:spacing w:line="580" w:lineRule="exact"/>
        <w:ind w:firstLine="1612" w:firstLineChars="504"/>
        <w:textAlignment w:val="auto"/>
        <w:rPr>
          <w:rFonts w:hint="eastAsia" w:ascii="方正仿宋_GBK" w:hAnsi="方正仿宋_GBK" w:eastAsia="方正仿宋_GBK" w:cs="方正仿宋_GBK"/>
          <w:b w:val="0"/>
          <w:bCs w:val="0"/>
          <w:smallCaps/>
          <w:color w:val="auto"/>
          <w:sz w:val="32"/>
          <w:szCs w:val="32"/>
        </w:rPr>
      </w:pPr>
      <w:r>
        <w:rPr>
          <w:rFonts w:hint="eastAsia" w:ascii="方正仿宋_GBK" w:hAnsi="方正仿宋_GBK" w:eastAsia="方正仿宋_GBK" w:cs="方正仿宋_GBK"/>
          <w:b w:val="0"/>
          <w:bCs w:val="0"/>
          <w:smallCaps/>
          <w:color w:val="auto"/>
          <w:sz w:val="32"/>
          <w:szCs w:val="32"/>
        </w:rPr>
        <w:t>7.内流河湿地生态保护修复区湿地资源分布图</w:t>
      </w:r>
    </w:p>
    <w:p>
      <w:pPr>
        <w:keepNext w:val="0"/>
        <w:keepLines w:val="0"/>
        <w:pageBreakBefore w:val="0"/>
        <w:widowControl w:val="0"/>
        <w:kinsoku/>
        <w:wordWrap/>
        <w:overflowPunct/>
        <w:topLinePunct/>
        <w:autoSpaceDE/>
        <w:autoSpaceDN/>
        <w:bidi w:val="0"/>
        <w:adjustRightInd/>
        <w:spacing w:line="580" w:lineRule="exact"/>
        <w:ind w:firstLine="1600" w:firstLineChars="500"/>
        <w:textAlignment w:val="auto"/>
        <w:rPr>
          <w:rFonts w:hint="eastAsia" w:ascii="方正仿宋_GBK" w:hAnsi="方正仿宋_GBK" w:eastAsia="方正仿宋_GBK" w:cs="方正仿宋_GBK"/>
          <w:b w:val="0"/>
          <w:bCs w:val="0"/>
          <w:smallCaps/>
          <w:color w:val="auto"/>
          <w:sz w:val="32"/>
          <w:szCs w:val="32"/>
        </w:rPr>
      </w:pPr>
      <w:r>
        <w:rPr>
          <w:rFonts w:hint="eastAsia" w:ascii="方正仿宋_GBK" w:hAnsi="方正仿宋_GBK" w:eastAsia="方正仿宋_GBK" w:cs="方正仿宋_GBK"/>
          <w:b w:val="0"/>
          <w:bCs w:val="0"/>
          <w:smallCaps/>
          <w:color w:val="auto"/>
          <w:sz w:val="32"/>
          <w:szCs w:val="32"/>
        </w:rPr>
        <w:t>8.黄河湿地重点生态区湿地资源分布图</w:t>
      </w:r>
    </w:p>
    <w:p>
      <w:pPr>
        <w:pageBreakBefore w:val="0"/>
        <w:widowControl w:val="0"/>
        <w:kinsoku/>
        <w:overflowPunct/>
        <w:topLinePunct/>
        <w:autoSpaceDE/>
        <w:autoSpaceDN/>
        <w:bidi w:val="0"/>
        <w:textAlignment w:val="auto"/>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pageBreakBefore w:val="0"/>
        <w:widowControl w:val="0"/>
        <w:kinsoku/>
        <w:overflowPunct/>
        <w:topLinePunct/>
        <w:autoSpaceDE/>
        <w:autoSpaceDN/>
        <w:bidi w:val="0"/>
        <w:textAlignment w:val="auto"/>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pageBreakBefore w:val="0"/>
        <w:widowControl w:val="0"/>
        <w:kinsoku/>
        <w:overflowPunct/>
        <w:topLinePunct/>
        <w:autoSpaceDE/>
        <w:autoSpaceDN/>
        <w:bidi w:val="0"/>
        <w:textAlignment w:val="auto"/>
        <w:rPr>
          <w:rFonts w:hint="eastAsia"/>
        </w:rPr>
      </w:pPr>
    </w:p>
    <w:p>
      <w:pPr>
        <w:pageBreakBefore w:val="0"/>
        <w:widowControl w:val="0"/>
        <w:kinsoku/>
        <w:overflowPunct/>
        <w:topLinePunct/>
        <w:autoSpaceDE/>
        <w:autoSpaceDN/>
        <w:bidi w:val="0"/>
        <w:textAlignment w:val="auto"/>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eastAsia="宋体"/>
          <w:lang w:eastAsia="zh-CN"/>
        </w:rPr>
      </w:pPr>
      <w:r>
        <w:rPr>
          <w:rFonts w:hint="eastAsia" w:eastAsia="宋体"/>
          <w:lang w:eastAsia="zh-CN"/>
        </w:rPr>
        <w:drawing>
          <wp:inline distT="0" distB="0" distL="114300" distR="114300">
            <wp:extent cx="5687695" cy="8317230"/>
            <wp:effectExtent l="0" t="0" r="8255" b="7620"/>
            <wp:docPr id="3" name="图片 17" descr="内政办发87号（换图）_页面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7" descr="内政办发87号（换图）_页面_1"/>
                    <pic:cNvPicPr>
                      <a:picLocks noChangeAspect="1"/>
                    </pic:cNvPicPr>
                  </pic:nvPicPr>
                  <pic:blipFill>
                    <a:blip r:embed="rId15"/>
                    <a:stretch>
                      <a:fillRect/>
                    </a:stretch>
                  </pic:blipFill>
                  <pic:spPr>
                    <a:xfrm>
                      <a:off x="0" y="0"/>
                      <a:ext cx="5687695" cy="8317230"/>
                    </a:xfrm>
                    <a:prstGeom prst="rect">
                      <a:avLst/>
                    </a:prstGeom>
                    <a:noFill/>
                    <a:ln>
                      <a:noFill/>
                    </a:ln>
                  </pic:spPr>
                </pic:pic>
              </a:graphicData>
            </a:graphic>
          </wp:inline>
        </w:drawing>
      </w:r>
      <w:r>
        <w:rPr>
          <w:rFonts w:hint="eastAsia" w:eastAsia="宋体"/>
          <w:lang w:eastAsia="zh-CN"/>
        </w:rPr>
        <w:drawing>
          <wp:inline distT="0" distB="0" distL="114300" distR="114300">
            <wp:extent cx="5687695" cy="8317230"/>
            <wp:effectExtent l="0" t="0" r="8255" b="7620"/>
            <wp:docPr id="4" name="图片 16" descr="内政办发87号（换图）_页面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6" descr="内政办发87号（换图）_页面_2"/>
                    <pic:cNvPicPr>
                      <a:picLocks noChangeAspect="1"/>
                    </pic:cNvPicPr>
                  </pic:nvPicPr>
                  <pic:blipFill>
                    <a:blip r:embed="rId16"/>
                    <a:stretch>
                      <a:fillRect/>
                    </a:stretch>
                  </pic:blipFill>
                  <pic:spPr>
                    <a:xfrm>
                      <a:off x="0" y="0"/>
                      <a:ext cx="5687695" cy="8317230"/>
                    </a:xfrm>
                    <a:prstGeom prst="rect">
                      <a:avLst/>
                    </a:prstGeom>
                    <a:noFill/>
                    <a:ln>
                      <a:noFill/>
                    </a:ln>
                  </pic:spPr>
                </pic:pic>
              </a:graphicData>
            </a:graphic>
          </wp:inline>
        </w:drawing>
      </w:r>
      <w:r>
        <w:rPr>
          <w:rFonts w:hint="eastAsia" w:eastAsia="宋体"/>
          <w:lang w:eastAsia="zh-CN"/>
        </w:rPr>
        <w:drawing>
          <wp:inline distT="0" distB="0" distL="114300" distR="114300">
            <wp:extent cx="5687695" cy="8317230"/>
            <wp:effectExtent l="0" t="0" r="8255" b="7620"/>
            <wp:docPr id="5" name="图片 15" descr="内政办发87号（换图）_页面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5" descr="内政办发87号（换图）_页面_3"/>
                    <pic:cNvPicPr>
                      <a:picLocks noChangeAspect="1"/>
                    </pic:cNvPicPr>
                  </pic:nvPicPr>
                  <pic:blipFill>
                    <a:blip r:embed="rId17"/>
                    <a:stretch>
                      <a:fillRect/>
                    </a:stretch>
                  </pic:blipFill>
                  <pic:spPr>
                    <a:xfrm>
                      <a:off x="0" y="0"/>
                      <a:ext cx="5687695" cy="8317230"/>
                    </a:xfrm>
                    <a:prstGeom prst="rect">
                      <a:avLst/>
                    </a:prstGeom>
                    <a:noFill/>
                    <a:ln>
                      <a:noFill/>
                    </a:ln>
                  </pic:spPr>
                </pic:pic>
              </a:graphicData>
            </a:graphic>
          </wp:inline>
        </w:drawing>
      </w:r>
      <w:r>
        <w:rPr>
          <w:rFonts w:hint="eastAsia" w:eastAsia="宋体"/>
          <w:lang w:eastAsia="zh-CN"/>
        </w:rPr>
        <w:drawing>
          <wp:inline distT="0" distB="0" distL="114300" distR="114300">
            <wp:extent cx="5687695" cy="8317230"/>
            <wp:effectExtent l="0" t="0" r="8255" b="7620"/>
            <wp:docPr id="6" name="图片 14" descr="内政办发87号（换图）_页面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 descr="内政办发87号（换图）_页面_4"/>
                    <pic:cNvPicPr>
                      <a:picLocks noChangeAspect="1"/>
                    </pic:cNvPicPr>
                  </pic:nvPicPr>
                  <pic:blipFill>
                    <a:blip r:embed="rId18"/>
                    <a:stretch>
                      <a:fillRect/>
                    </a:stretch>
                  </pic:blipFill>
                  <pic:spPr>
                    <a:xfrm>
                      <a:off x="0" y="0"/>
                      <a:ext cx="5687695" cy="8317230"/>
                    </a:xfrm>
                    <a:prstGeom prst="rect">
                      <a:avLst/>
                    </a:prstGeom>
                    <a:noFill/>
                    <a:ln>
                      <a:noFill/>
                    </a:ln>
                  </pic:spPr>
                </pic:pic>
              </a:graphicData>
            </a:graphic>
          </wp:inline>
        </w:drawing>
      </w:r>
      <w:r>
        <w:rPr>
          <w:rFonts w:hint="eastAsia" w:eastAsia="宋体"/>
          <w:lang w:eastAsia="zh-CN"/>
        </w:rPr>
        <w:drawing>
          <wp:inline distT="0" distB="0" distL="114300" distR="114300">
            <wp:extent cx="5687695" cy="8317230"/>
            <wp:effectExtent l="0" t="0" r="8255" b="7620"/>
            <wp:docPr id="7" name="图片 13" descr="内政办发87号（换图）_页面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3" descr="内政办发87号（换图）_页面_5"/>
                    <pic:cNvPicPr>
                      <a:picLocks noChangeAspect="1"/>
                    </pic:cNvPicPr>
                  </pic:nvPicPr>
                  <pic:blipFill>
                    <a:blip r:embed="rId19"/>
                    <a:stretch>
                      <a:fillRect/>
                    </a:stretch>
                  </pic:blipFill>
                  <pic:spPr>
                    <a:xfrm>
                      <a:off x="0" y="0"/>
                      <a:ext cx="5687695" cy="8317230"/>
                    </a:xfrm>
                    <a:prstGeom prst="rect">
                      <a:avLst/>
                    </a:prstGeom>
                    <a:noFill/>
                    <a:ln>
                      <a:noFill/>
                    </a:ln>
                  </pic:spPr>
                </pic:pic>
              </a:graphicData>
            </a:graphic>
          </wp:inline>
        </w:drawing>
      </w:r>
      <w:r>
        <w:rPr>
          <w:rFonts w:hint="eastAsia" w:eastAsia="宋体"/>
          <w:lang w:eastAsia="zh-CN"/>
        </w:rPr>
        <w:drawing>
          <wp:inline distT="0" distB="0" distL="114300" distR="114300">
            <wp:extent cx="5687695" cy="8317230"/>
            <wp:effectExtent l="0" t="0" r="8255" b="7620"/>
            <wp:docPr id="8" name="图片 12" descr="内政办发87号（换图）_页面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2" descr="内政办发87号（换图）_页面_6"/>
                    <pic:cNvPicPr>
                      <a:picLocks noChangeAspect="1"/>
                    </pic:cNvPicPr>
                  </pic:nvPicPr>
                  <pic:blipFill>
                    <a:blip r:embed="rId20"/>
                    <a:stretch>
                      <a:fillRect/>
                    </a:stretch>
                  </pic:blipFill>
                  <pic:spPr>
                    <a:xfrm>
                      <a:off x="0" y="0"/>
                      <a:ext cx="5687695" cy="8317230"/>
                    </a:xfrm>
                    <a:prstGeom prst="rect">
                      <a:avLst/>
                    </a:prstGeom>
                    <a:noFill/>
                    <a:ln>
                      <a:noFill/>
                    </a:ln>
                  </pic:spPr>
                </pic:pic>
              </a:graphicData>
            </a:graphic>
          </wp:inline>
        </w:drawing>
      </w:r>
      <w:r>
        <w:rPr>
          <w:rFonts w:hint="eastAsia" w:eastAsia="宋体"/>
          <w:lang w:eastAsia="zh-CN"/>
        </w:rPr>
        <w:drawing>
          <wp:inline distT="0" distB="0" distL="114300" distR="114300">
            <wp:extent cx="5687695" cy="8317230"/>
            <wp:effectExtent l="0" t="0" r="8255" b="7620"/>
            <wp:docPr id="9" name="图片 11" descr="内政办发87号（换图）_页面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1" descr="内政办发87号（换图）_页面_7"/>
                    <pic:cNvPicPr>
                      <a:picLocks noChangeAspect="1"/>
                    </pic:cNvPicPr>
                  </pic:nvPicPr>
                  <pic:blipFill>
                    <a:blip r:embed="rId21"/>
                    <a:stretch>
                      <a:fillRect/>
                    </a:stretch>
                  </pic:blipFill>
                  <pic:spPr>
                    <a:xfrm>
                      <a:off x="0" y="0"/>
                      <a:ext cx="5687695" cy="8317230"/>
                    </a:xfrm>
                    <a:prstGeom prst="rect">
                      <a:avLst/>
                    </a:prstGeom>
                    <a:noFill/>
                    <a:ln>
                      <a:noFill/>
                    </a:ln>
                  </pic:spPr>
                </pic:pic>
              </a:graphicData>
            </a:graphic>
          </wp:inline>
        </w:drawing>
      </w:r>
      <w:r>
        <w:rPr>
          <w:rFonts w:hint="eastAsia" w:eastAsia="宋体"/>
          <w:lang w:eastAsia="zh-CN"/>
        </w:rPr>
        <w:drawing>
          <wp:inline distT="0" distB="0" distL="114300" distR="114300">
            <wp:extent cx="5687695" cy="8317230"/>
            <wp:effectExtent l="0" t="0" r="8255" b="7620"/>
            <wp:docPr id="10" name="图片 10" descr="内政办发87号（换图）_页面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内政办发87号（换图）_页面_8"/>
                    <pic:cNvPicPr>
                      <a:picLocks noChangeAspect="1"/>
                    </pic:cNvPicPr>
                  </pic:nvPicPr>
                  <pic:blipFill>
                    <a:blip r:embed="rId22"/>
                    <a:stretch>
                      <a:fillRect/>
                    </a:stretch>
                  </pic:blipFill>
                  <pic:spPr>
                    <a:xfrm>
                      <a:off x="0" y="0"/>
                      <a:ext cx="5687695" cy="8317230"/>
                    </a:xfrm>
                    <a:prstGeom prst="rect">
                      <a:avLst/>
                    </a:prstGeom>
                    <a:noFill/>
                    <a:ln>
                      <a:noFill/>
                    </a:ln>
                  </pic:spPr>
                </pic:pic>
              </a:graphicData>
            </a:graphic>
          </wp:inline>
        </w:drawing>
      </w: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lang w:eastAsia="zh-CN"/>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pageBreakBefore w:val="0"/>
        <w:widowControl w:val="0"/>
        <w:kinsoku/>
        <w:overflowPunct/>
        <w:topLinePunct/>
        <w:autoSpaceDE/>
        <w:autoSpaceDN/>
        <w:bidi w:val="0"/>
        <w:textAlignment w:val="auto"/>
        <w:rPr>
          <w:rFonts w:hint="eastAsia"/>
        </w:rPr>
      </w:pPr>
    </w:p>
    <w:p>
      <w:pPr>
        <w:pageBreakBefore w:val="0"/>
        <w:widowControl w:val="0"/>
        <w:kinsoku/>
        <w:overflowPunct/>
        <w:topLinePunct/>
        <w:autoSpaceDE/>
        <w:autoSpaceDN/>
        <w:bidi w:val="0"/>
        <w:textAlignment w:val="auto"/>
        <w:rPr>
          <w:rFonts w:hint="eastAsia"/>
        </w:rPr>
      </w:pPr>
    </w:p>
    <w:tbl>
      <w:tblPr>
        <w:tblStyle w:val="28"/>
        <w:tblW w:w="8941" w:type="dxa"/>
        <w:tblInd w:w="0" w:type="dxa"/>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941"/>
      </w:tblGrid>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PrEx>
        <w:tc>
          <w:tcPr>
            <w:tcW w:w="8941" w:type="dxa"/>
            <w:noWrap w:val="0"/>
            <w:vAlign w:val="center"/>
          </w:tcPr>
          <w:p>
            <w:pPr>
              <w:keepNext w:val="0"/>
              <w:keepLines w:val="0"/>
              <w:pageBreakBefore w:val="0"/>
              <w:widowControl w:val="0"/>
              <w:kinsoku/>
              <w:wordWrap/>
              <w:overflowPunct/>
              <w:topLinePunct/>
              <w:autoSpaceDE/>
              <w:autoSpaceDN/>
              <w:bidi w:val="0"/>
              <w:adjustRightInd/>
              <w:snapToGrid/>
              <w:spacing w:line="400" w:lineRule="exact"/>
              <w:ind w:right="210" w:rightChars="100" w:firstLine="280" w:firstLineChars="100"/>
              <w:jc w:val="left"/>
              <w:textAlignment w:val="auto"/>
              <w:rPr>
                <w:rFonts w:ascii="仿宋_GB2312" w:eastAsia="仿宋_GB2312"/>
                <w:sz w:val="28"/>
              </w:rPr>
            </w:pPr>
            <w:r>
              <w:rPr>
                <w:rFonts w:hint="eastAsia" w:ascii="仿宋_GB2312" w:eastAsia="仿宋_GB2312"/>
                <w:sz w:val="28"/>
              </w:rPr>
              <w:t>抄送：自治区党委各部门，内蒙古军区，武警内蒙古总队。</w:t>
            </w:r>
          </w:p>
          <w:p>
            <w:pPr>
              <w:keepNext w:val="0"/>
              <w:keepLines w:val="0"/>
              <w:pageBreakBefore w:val="0"/>
              <w:widowControl w:val="0"/>
              <w:kinsoku/>
              <w:wordWrap/>
              <w:overflowPunct/>
              <w:topLinePunct/>
              <w:autoSpaceDE/>
              <w:autoSpaceDN/>
              <w:bidi w:val="0"/>
              <w:adjustRightInd/>
              <w:snapToGrid/>
              <w:spacing w:line="400" w:lineRule="exact"/>
              <w:ind w:left="1117" w:leftChars="532" w:right="210" w:rightChars="100" w:firstLine="0" w:firstLineChars="0"/>
              <w:jc w:val="left"/>
              <w:textAlignment w:val="auto"/>
              <w:rPr>
                <w:rFonts w:ascii="仿宋_GB2312" w:eastAsia="仿宋_GB2312"/>
                <w:sz w:val="28"/>
              </w:rPr>
            </w:pPr>
            <w:r>
              <w:rPr>
                <w:rFonts w:hint="eastAsia" w:ascii="仿宋_GB2312" w:eastAsia="仿宋_GB2312"/>
                <w:sz w:val="28"/>
              </w:rPr>
              <w:t>自治区人大常委会办公厅、政协办公厅，</w:t>
            </w:r>
            <w:r>
              <w:rPr>
                <w:rFonts w:hint="eastAsia" w:ascii="仿宋_GB2312" w:eastAsia="仿宋_GB2312"/>
                <w:sz w:val="28"/>
                <w:lang w:eastAsia="zh-CN"/>
              </w:rPr>
              <w:t>自治区监委，自治区</w:t>
            </w:r>
            <w:r>
              <w:rPr>
                <w:rFonts w:hint="eastAsia" w:ascii="仿宋_GB2312" w:eastAsia="仿宋_GB2312"/>
                <w:sz w:val="28"/>
              </w:rPr>
              <w:t>高级人民法院，检察院。</w:t>
            </w:r>
          </w:p>
          <w:p>
            <w:pPr>
              <w:keepNext w:val="0"/>
              <w:keepLines w:val="0"/>
              <w:pageBreakBefore w:val="0"/>
              <w:widowControl w:val="0"/>
              <w:kinsoku/>
              <w:wordWrap/>
              <w:overflowPunct/>
              <w:topLinePunct/>
              <w:autoSpaceDE/>
              <w:autoSpaceDN/>
              <w:bidi w:val="0"/>
              <w:adjustRightInd/>
              <w:snapToGrid/>
              <w:spacing w:line="400" w:lineRule="exact"/>
              <w:ind w:right="210" w:rightChars="100" w:firstLine="1120" w:firstLineChars="400"/>
              <w:jc w:val="left"/>
              <w:textAlignment w:val="auto"/>
              <w:rPr>
                <w:rFonts w:ascii="仿宋_GB2312" w:eastAsia="仿宋_GB2312"/>
                <w:sz w:val="28"/>
              </w:rPr>
            </w:pPr>
            <w:r>
              <w:rPr>
                <w:rFonts w:hint="eastAsia" w:ascii="仿宋_GB2312" w:eastAsia="仿宋_GB2312"/>
                <w:sz w:val="28"/>
              </w:rPr>
              <w:t>各人民团体，新闻单位。</w:t>
            </w:r>
          </w:p>
        </w:tc>
      </w:tr>
      <w:tr>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Ex>
        <w:trPr>
          <w:trHeight w:val="614" w:hRule="atLeast"/>
        </w:trPr>
        <w:tc>
          <w:tcPr>
            <w:tcW w:w="8941" w:type="dxa"/>
            <w:noWrap w:val="0"/>
            <w:vAlign w:val="center"/>
          </w:tcPr>
          <w:p>
            <w:pPr>
              <w:keepNext w:val="0"/>
              <w:keepLines w:val="0"/>
              <w:pageBreakBefore w:val="0"/>
              <w:widowControl w:val="0"/>
              <w:kinsoku/>
              <w:wordWrap/>
              <w:overflowPunct/>
              <w:topLinePunct/>
              <w:autoSpaceDE/>
              <w:autoSpaceDN/>
              <w:bidi w:val="0"/>
              <w:adjustRightInd/>
              <w:snapToGrid/>
              <w:spacing w:line="400" w:lineRule="exact"/>
              <w:ind w:firstLine="280" w:firstLineChars="100"/>
              <w:jc w:val="both"/>
              <w:textAlignment w:val="auto"/>
              <w:rPr>
                <w:rFonts w:ascii="仿宋_GB2312" w:eastAsia="仿宋_GB2312"/>
                <w:sz w:val="28"/>
              </w:rPr>
            </w:pPr>
            <w:r>
              <w:rPr>
                <w:rFonts w:hint="eastAsia" w:ascii="仿宋_GB2312" w:eastAsia="仿宋_GB2312"/>
                <w:sz w:val="28"/>
              </w:rPr>
              <w:t xml:space="preserve">内蒙古自治区人民政府办公厅文电处    </w:t>
            </w:r>
            <w:r>
              <w:rPr>
                <w:rFonts w:hint="eastAsia" w:ascii="仿宋_GB2312" w:eastAsia="仿宋_GB2312"/>
                <w:sz w:val="28"/>
                <w:lang w:val="en-US" w:eastAsia="zh-CN"/>
              </w:rPr>
              <w:t xml:space="preserve">  </w:t>
            </w:r>
            <w:r>
              <w:rPr>
                <w:rFonts w:hint="eastAsia" w:ascii="仿宋_GB2312" w:eastAsia="仿宋_GB2312"/>
                <w:sz w:val="28"/>
              </w:rPr>
              <w:t>202</w:t>
            </w:r>
            <w:r>
              <w:rPr>
                <w:rFonts w:hint="eastAsia" w:ascii="仿宋_GB2312" w:eastAsia="仿宋_GB2312"/>
                <w:sz w:val="28"/>
                <w:lang w:val="en-US" w:eastAsia="zh-CN"/>
              </w:rPr>
              <w:t>3</w:t>
            </w:r>
            <w:r>
              <w:rPr>
                <w:rFonts w:hint="eastAsia" w:ascii="仿宋_GB2312" w:eastAsia="仿宋_GB2312"/>
                <w:sz w:val="28"/>
              </w:rPr>
              <w:t>年</w:t>
            </w:r>
            <w:r>
              <w:rPr>
                <w:rFonts w:hint="eastAsia" w:ascii="仿宋_GB2312" w:eastAsia="仿宋_GB2312"/>
                <w:sz w:val="28"/>
                <w:lang w:val="en-US" w:eastAsia="zh-CN"/>
              </w:rPr>
              <w:t>12</w:t>
            </w:r>
            <w:r>
              <w:rPr>
                <w:rFonts w:hint="eastAsia" w:ascii="仿宋_GB2312" w:eastAsia="仿宋_GB2312"/>
                <w:sz w:val="28"/>
              </w:rPr>
              <w:t>月</w:t>
            </w:r>
            <w:r>
              <w:rPr>
                <w:rFonts w:hint="eastAsia" w:ascii="仿宋_GB2312" w:eastAsia="仿宋_GB2312"/>
                <w:sz w:val="28"/>
                <w:lang w:val="en-US" w:eastAsia="zh-CN"/>
              </w:rPr>
              <w:t>24</w:t>
            </w:r>
            <w:r>
              <w:rPr>
                <w:rFonts w:hint="eastAsia" w:ascii="仿宋_GB2312" w:eastAsia="仿宋_GB2312"/>
                <w:sz w:val="28"/>
              </w:rPr>
              <w:t>日印发</w:t>
            </w:r>
          </w:p>
        </w:tc>
      </w:tr>
    </w:tbl>
    <w:p>
      <w:pPr>
        <w:pageBreakBefore w:val="0"/>
        <w:widowControl w:val="0"/>
        <w:kinsoku/>
        <w:overflowPunct/>
        <w:topLinePunct/>
        <w:autoSpaceDE/>
        <w:autoSpaceDN/>
        <w:bidi w:val="0"/>
        <w:spacing w:line="20" w:lineRule="exact"/>
        <w:textAlignment w:val="auto"/>
        <w:rPr>
          <w:rFonts w:hint="eastAsia"/>
        </w:rPr>
      </w:pPr>
      <w:r>
        <w:rPr>
          <w:rFonts w:hint="eastAsia" w:eastAsia="宋体"/>
          <w:lang w:eastAsia="zh-CN"/>
        </w:rPr>
        <w:drawing>
          <wp:anchor distT="0" distB="0" distL="114300" distR="114300" simplePos="0" relativeHeight="251660288" behindDoc="0" locked="0" layoutInCell="1" allowOverlap="1">
            <wp:simplePos x="0" y="0"/>
            <wp:positionH relativeFrom="column">
              <wp:posOffset>3560445</wp:posOffset>
            </wp:positionH>
            <wp:positionV relativeFrom="paragraph">
              <wp:posOffset>167640</wp:posOffset>
            </wp:positionV>
            <wp:extent cx="1790700" cy="419100"/>
            <wp:effectExtent l="0" t="0" r="0" b="0"/>
            <wp:wrapSquare wrapText="bothSides"/>
            <wp:docPr id="2" name="图片 25" descr="NZBF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5" descr="NZBF87"/>
                    <pic:cNvPicPr>
                      <a:picLocks noChangeAspect="1"/>
                    </pic:cNvPicPr>
                  </pic:nvPicPr>
                  <pic:blipFill>
                    <a:blip r:embed="rId23"/>
                    <a:stretch>
                      <a:fillRect/>
                    </a:stretch>
                  </pic:blipFill>
                  <pic:spPr>
                    <a:xfrm>
                      <a:off x="0" y="0"/>
                      <a:ext cx="1790700" cy="419100"/>
                    </a:xfrm>
                    <a:prstGeom prst="rect">
                      <a:avLst/>
                    </a:prstGeom>
                    <a:noFill/>
                    <a:ln>
                      <a:noFill/>
                    </a:ln>
                  </pic:spPr>
                </pic:pic>
              </a:graphicData>
            </a:graphic>
          </wp:anchor>
        </w:drawing>
      </w:r>
    </w:p>
    <w:sectPr>
      <w:headerReference r:id="rId9" w:type="default"/>
      <w:footerReference r:id="rId11" w:type="default"/>
      <w:headerReference r:id="rId10" w:type="even"/>
      <w:footerReference r:id="rId12" w:type="even"/>
      <w:pgSz w:w="11906" w:h="16838"/>
      <w:pgMar w:top="2098" w:right="1474" w:bottom="1701" w:left="1474" w:header="851" w:footer="1417" w:gutter="0"/>
      <w:paperSrc/>
      <w:pgBorders>
        <w:top w:val="none" w:sz="0" w:space="0"/>
        <w:left w:val="none" w:sz="0" w:space="0"/>
        <w:bottom w:val="none" w:sz="0" w:space="0"/>
        <w:right w:val="none" w:sz="0" w:space="0"/>
      </w:pgBorders>
      <w:pgNumType w:fmt="numberInDash"/>
      <w:cols w:space="72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 w:name="仿宋_GB2312">
    <w:panose1 w:val="02010609030101010101"/>
    <w:charset w:val="86"/>
    <w:family w:val="modern"/>
    <w:pitch w:val="default"/>
    <w:sig w:usb0="00000001" w:usb1="080E0000" w:usb2="00000000" w:usb3="00000000" w:csb0="00040000" w:csb1="00000000"/>
  </w:font>
  <w:font w:name="Calibri Light">
    <w:panose1 w:val="020F0302020204030204"/>
    <w:charset w:val="00"/>
    <w:family w:val="swiss"/>
    <w:pitch w:val="default"/>
    <w:sig w:usb0="E4002EFF" w:usb1="C000247B" w:usb2="00000009" w:usb3="00000000" w:csb0="200001FF" w:csb1="00000000"/>
  </w:font>
  <w:font w:name="华文仿宋">
    <w:altName w:val="方正仿宋_GBK"/>
    <w:panose1 w:val="02010600040101010101"/>
    <w:charset w:val="00"/>
    <w:family w:val="auto"/>
    <w:pitch w:val="default"/>
    <w:sig w:usb0="00000287" w:usb1="080F0000" w:usb2="00000000" w:usb3="00000000" w:csb0="0004009F" w:csb1="DFD70000"/>
  </w:font>
  <w:font w:name="楷体_GB2312">
    <w:panose1 w:val="02010609030101010101"/>
    <w:charset w:val="86"/>
    <w:family w:val="modern"/>
    <w:pitch w:val="default"/>
    <w:sig w:usb0="00000001" w:usb1="080E0000" w:usb2="00000000" w:usb3="00000000" w:csb0="00040000" w:csb1="00000000"/>
  </w:font>
  <w:font w:name="方正小标宋简体">
    <w:panose1 w:val="03000509000000000000"/>
    <w:charset w:val="86"/>
    <w:family w:val="script"/>
    <w:pitch w:val="default"/>
    <w:sig w:usb0="00000001" w:usb1="080E0000" w:usb2="00000000" w:usb3="00000000" w:csb0="00040000" w:csb1="00000000"/>
  </w:font>
  <w:font w:name="方正楷体_GBK">
    <w:panose1 w:val="03000509000000000000"/>
    <w:charset w:val="86"/>
    <w:family w:val="auto"/>
    <w:pitch w:val="default"/>
    <w:sig w:usb0="00000001" w:usb1="080E0000" w:usb2="00000000" w:usb3="00000000" w:csb0="00040000" w:csb1="00000000"/>
  </w:font>
  <w:font w:name="华文中宋">
    <w:altName w:val="宋体"/>
    <w:panose1 w:val="02010600040101010101"/>
    <w:charset w:val="00"/>
    <w:family w:val="auto"/>
    <w:pitch w:val="default"/>
    <w:sig w:usb0="00000287" w:usb1="080F0000" w:usb2="00000000" w:usb3="00000000" w:csb0="0004009F" w:csb1="DFD70000"/>
  </w:font>
  <w:font w:name="方正小标宋_GBK">
    <w:altName w:val="微软雅黑"/>
    <w:panose1 w:val="03000502000000000000"/>
    <w:charset w:val="86"/>
    <w:family w:val="script"/>
    <w:pitch w:val="default"/>
    <w:sig w:usb0="00000001" w:usb1="080E0000" w:usb2="00000000" w:usb3="00000000" w:csb0="00040000" w:csb1="00000000"/>
  </w:font>
  <w:font w:name="方正黑体_GBK">
    <w:altName w:val="微软雅黑"/>
    <w:panose1 w:val="02000000000000000000"/>
    <w:charset w:val="86"/>
    <w:family w:val="auto"/>
    <w:pitch w:val="default"/>
    <w:sig w:usb0="A00002BF" w:usb1="38CF7CFA" w:usb2="00082016" w:usb3="00000000" w:csb0="00040001" w:csb1="00000000"/>
  </w:font>
  <w:font w:name="方正仿宋_GBK">
    <w:panose1 w:val="03000509000000000000"/>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rPr>
        <w:rFonts w:ascii="宋体" w:hAnsi="宋体" w:eastAsia="宋体"/>
        <w:sz w:val="28"/>
        <w:szCs w:val="28"/>
      </w:rPr>
    </w:pPr>
    <w:r>
      <w:rPr>
        <w:sz w:val="28"/>
      </w:rPr>
      <mc:AlternateContent>
        <mc:Choice Requires="wps">
          <w:drawing>
            <wp:anchor distT="0" distB="0" distL="114300" distR="114300" simplePos="0" relativeHeight="251658240" behindDoc="0" locked="0" layoutInCell="1" allowOverlap="1">
              <wp:simplePos x="0" y="0"/>
              <wp:positionH relativeFrom="margin">
                <wp:align>outside</wp:align>
              </wp:positionH>
              <wp:positionV relativeFrom="paragraph">
                <wp:posOffset>0</wp:posOffset>
              </wp:positionV>
              <wp:extent cx="1828800" cy="1828800"/>
              <wp:effectExtent l="0" t="0" r="0" b="0"/>
              <wp:wrapNone/>
              <wp:docPr id="11"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- 1 -</w:t>
                          </w:r>
                          <w:r>
                            <w:rPr>
                              <w:rFonts w:hint="eastAsia" w:ascii="宋体" w:hAnsi="宋体" w:eastAsia="宋体" w:cs="宋体"/>
                              <w:sz w:val="28"/>
                              <w:szCs w:val="28"/>
                              <w:lang w:eastAsia="zh-CN"/>
                            </w:rPr>
                            <w:fldChar w:fldCharType="end"/>
                          </w:r>
                        </w:p>
                      </w:txbxContent>
                    </wps:txbx>
                    <wps:bodyPr vert="horz" wrap="none" lIns="0" tIns="0" rIns="0" bIns="0" anchor="t" anchorCtr="0" upright="0">
                      <a:spAutoFit/>
                    </wps:bodyPr>
                  </wps:wsp>
                </a:graphicData>
              </a:graphic>
            </wp:anchor>
          </w:drawing>
        </mc:Choice>
        <mc:Fallback>
          <w:pict>
            <v:shape id="文本框 7" o:spid="_x0000_s1026" o:spt="202" type="#_x0000_t202" style="position:absolute;left:0pt;margin-top:0pt;height:144pt;width:144pt;mso-position-horizontal:outside;mso-position-horizontal-relative:margin;mso-wrap-style:none;z-index:25165824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J8GiZjCAQAAcQMAAA4AAAAAAAAAAQAgAAAAHgEAAGRycy9lMm9Eb2MueG1sUEsF&#10;BgAAAAAGAAYAWQEAAFIFAAAAAA==&#10;">
              <v:fill on="f" focussize="0,0"/>
              <v:stroke on="f"/>
              <v:imagedata o:title=""/>
              <o:lock v:ext="edit" aspectratio="f"/>
              <v:textbox inset="0mm,0mm,0mm,0mm" style="mso-fit-shape-to-text:t;">
                <w:txbxContent>
                  <w:p>
                    <w:pPr>
                      <w:pStyle w:val="18"/>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- 1 -</w:t>
                    </w:r>
                    <w:r>
                      <w:rPr>
                        <w:rFonts w:hint="eastAsia" w:ascii="宋体" w:hAnsi="宋体" w:eastAsia="宋体" w:cs="宋体"/>
                        <w:sz w:val="28"/>
                        <w:szCs w:val="28"/>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0" w:firstLineChars="0"/>
    </w:pPr>
    <w:r>
      <w:rPr>
        <w:sz w:val="18"/>
      </w:rP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12"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- 2 -</w:t>
                          </w:r>
                          <w:r>
                            <w:rPr>
                              <w:rFonts w:hint="eastAsia" w:ascii="宋体" w:hAnsi="宋体" w:eastAsia="宋体" w:cs="宋体"/>
                              <w:sz w:val="28"/>
                              <w:szCs w:val="28"/>
                              <w:lang w:eastAsia="zh-CN"/>
                            </w:rPr>
                            <w:fldChar w:fldCharType="end"/>
                          </w:r>
                        </w:p>
                      </w:txbxContent>
                    </wps:txbx>
                    <wps:bodyPr vert="horz" wrap="none" lIns="0" tIns="0" rIns="0" bIns="0" anchor="t" anchorCtr="0" upright="0">
                      <a:spAutoFit/>
                    </wps:bodyPr>
                  </wps:wsp>
                </a:graphicData>
              </a:graphic>
            </wp:anchor>
          </w:drawing>
        </mc:Choice>
        <mc:Fallback>
          <w:pict>
            <v:shape id="文本框 8"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klnW/wwEAAHEDAAAOAAAAAAAAAAEAIAAAAB4BAABkcnMvZTJvRG9jLnhtbFBL&#10;BQYAAAAABgAGAFkBAABTBQAAAAA=&#10;">
              <v:fill on="f" focussize="0,0"/>
              <v:stroke on="f"/>
              <v:imagedata o:title=""/>
              <o:lock v:ext="edit" aspectratio="f"/>
              <v:textbox inset="0mm,0mm,0mm,0mm" style="mso-fit-shape-to-text:t;">
                <w:txbxContent>
                  <w:p>
                    <w:pPr>
                      <w:pStyle w:val="18"/>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- 2 -</w:t>
                    </w:r>
                    <w:r>
                      <w:rPr>
                        <w:rFonts w:hint="eastAsia" w:ascii="宋体" w:hAnsi="宋体" w:eastAsia="宋体" w:cs="宋体"/>
                        <w:sz w:val="28"/>
                        <w:szCs w:val="28"/>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13"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- 47 -</w:t>
                          </w:r>
                          <w:r>
                            <w:rPr>
                              <w:rFonts w:hint="eastAsia" w:ascii="宋体" w:hAnsi="宋体" w:eastAsia="宋体" w:cs="宋体"/>
                              <w:sz w:val="28"/>
                              <w:szCs w:val="28"/>
                              <w:lang w:eastAsia="zh-CN"/>
                            </w:rPr>
                            <w:fldChar w:fldCharType="end"/>
                          </w:r>
                        </w:p>
                      </w:txbxContent>
                    </wps:txbx>
                    <wps:bodyPr vert="horz" wrap="none" lIns="0" tIns="0" rIns="0" bIns="0" anchor="t" anchorCtr="0" upright="0">
                      <a:spAutoFit/>
                    </wps:bodyPr>
                  </wps:wsp>
                </a:graphicData>
              </a:graphic>
            </wp:anchor>
          </w:drawing>
        </mc:Choice>
        <mc:Fallback>
          <w:pict>
            <v:shape id="文本框 11"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D6i3q7wwEAAHIDAAAOAAAAAAAAAAEAIAAAAB4BAABkcnMvZTJvRG9jLnhtbFBL&#10;BQYAAAAABgAGAFkBAABTBQAAAAA=&#10;">
              <v:fill on="f" focussize="0,0"/>
              <v:stroke on="f"/>
              <v:imagedata o:title=""/>
              <o:lock v:ext="edit" aspectratio="f"/>
              <v:textbox inset="0mm,0mm,0mm,0mm" style="mso-fit-shape-to-text:t;">
                <w:txbxContent>
                  <w:p>
                    <w:pPr>
                      <w:pStyle w:val="18"/>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- 47 -</w:t>
                    </w:r>
                    <w:r>
                      <w:rPr>
                        <w:rFonts w:hint="eastAsia" w:ascii="宋体" w:hAnsi="宋体" w:eastAsia="宋体" w:cs="宋体"/>
                        <w:sz w:val="28"/>
                        <w:szCs w:val="28"/>
                        <w:lang w:eastAsia="zh-CN"/>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right="360"/>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14"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8"/>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- 46 -</w:t>
                          </w:r>
                          <w:r>
                            <w:rPr>
                              <w:rFonts w:hint="eastAsia" w:ascii="宋体" w:hAnsi="宋体" w:eastAsia="宋体" w:cs="宋体"/>
                              <w:sz w:val="28"/>
                              <w:szCs w:val="28"/>
                              <w:lang w:eastAsia="zh-CN"/>
                            </w:rPr>
                            <w:fldChar w:fldCharType="end"/>
                          </w:r>
                        </w:p>
                      </w:txbxContent>
                    </wps:txbx>
                    <wps:bodyPr vert="horz" wrap="none" lIns="0" tIns="0" rIns="0" bIns="0" anchor="t" anchorCtr="0" upright="0">
                      <a:spAutoFit/>
                    </wps:bodyPr>
                  </wps:wsp>
                </a:graphicData>
              </a:graphic>
            </wp:anchor>
          </w:drawing>
        </mc:Choice>
        <mc:Fallback>
          <w:pict>
            <v:shape id="文本框 12"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CMRroUwwEAAHIDAAAOAAAAAAAAAAEAIAAAAB4BAABkcnMvZTJvRG9jLnhtbFBL&#10;BQYAAAAABgAGAFkBAABTBQAAAAA=&#10;">
              <v:fill on="f" focussize="0,0"/>
              <v:stroke on="f"/>
              <v:imagedata o:title=""/>
              <o:lock v:ext="edit" aspectratio="f"/>
              <v:textbox inset="0mm,0mm,0mm,0mm" style="mso-fit-shape-to-text:t;">
                <w:txbxContent>
                  <w:p>
                    <w:pPr>
                      <w:pStyle w:val="18"/>
                      <w:rPr>
                        <w:rFonts w:hint="eastAsia" w:ascii="宋体" w:hAnsi="宋体" w:eastAsia="宋体" w:cs="宋体"/>
                        <w:sz w:val="28"/>
                        <w:szCs w:val="28"/>
                        <w:lang w:eastAsia="zh-CN"/>
                      </w:rPr>
                    </w:pPr>
                    <w:r>
                      <w:rPr>
                        <w:rFonts w:hint="eastAsia" w:ascii="宋体" w:hAnsi="宋体" w:eastAsia="宋体" w:cs="宋体"/>
                        <w:sz w:val="28"/>
                        <w:szCs w:val="28"/>
                        <w:lang w:eastAsia="zh-CN"/>
                      </w:rPr>
                      <w:fldChar w:fldCharType="begin"/>
                    </w:r>
                    <w:r>
                      <w:rPr>
                        <w:rFonts w:hint="eastAsia" w:ascii="宋体" w:hAnsi="宋体" w:eastAsia="宋体" w:cs="宋体"/>
                        <w:sz w:val="28"/>
                        <w:szCs w:val="28"/>
                        <w:lang w:eastAsia="zh-CN"/>
                      </w:rPr>
                      <w:instrText xml:space="preserve"> PAGE  \* MERGEFORMAT </w:instrText>
                    </w:r>
                    <w:r>
                      <w:rPr>
                        <w:rFonts w:hint="eastAsia" w:ascii="宋体" w:hAnsi="宋体" w:eastAsia="宋体" w:cs="宋体"/>
                        <w:sz w:val="28"/>
                        <w:szCs w:val="28"/>
                        <w:lang w:eastAsia="zh-CN"/>
                      </w:rPr>
                      <w:fldChar w:fldCharType="separate"/>
                    </w:r>
                    <w:r>
                      <w:rPr>
                        <w:rFonts w:hint="eastAsia" w:ascii="宋体" w:hAnsi="宋体" w:eastAsia="宋体" w:cs="宋体"/>
                        <w:sz w:val="28"/>
                        <w:szCs w:val="28"/>
                        <w:lang w:eastAsia="zh-CN"/>
                      </w:rPr>
                      <w:t>- 46 -</w:t>
                    </w:r>
                    <w:r>
                      <w:rPr>
                        <w:rFonts w:hint="eastAsia" w:ascii="宋体" w:hAnsi="宋体" w:eastAsia="宋体" w:cs="宋体"/>
                        <w:sz w:val="28"/>
                        <w:szCs w:val="28"/>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640" w:firstLine="0" w:firstLineChars="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pBdr>
        <w:bottom w:val="none" w:color="auto" w:sz="0" w:space="0"/>
      </w:pBd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420"/>
  <w:hyphenationZone w:val="360"/>
  <w:evenAndOddHeaders w:val="1"/>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6755"/>
    <w:rsid w:val="0000053B"/>
    <w:rsid w:val="00000BC8"/>
    <w:rsid w:val="00000D35"/>
    <w:rsid w:val="00000E8A"/>
    <w:rsid w:val="00001A5E"/>
    <w:rsid w:val="0001025F"/>
    <w:rsid w:val="00010E72"/>
    <w:rsid w:val="00010FBD"/>
    <w:rsid w:val="000134B5"/>
    <w:rsid w:val="0001572E"/>
    <w:rsid w:val="0001671F"/>
    <w:rsid w:val="0001751F"/>
    <w:rsid w:val="00017973"/>
    <w:rsid w:val="00017C56"/>
    <w:rsid w:val="00017C8E"/>
    <w:rsid w:val="00021290"/>
    <w:rsid w:val="000228A4"/>
    <w:rsid w:val="00024FC9"/>
    <w:rsid w:val="00025291"/>
    <w:rsid w:val="0003004C"/>
    <w:rsid w:val="000305B6"/>
    <w:rsid w:val="00031020"/>
    <w:rsid w:val="00036CC9"/>
    <w:rsid w:val="00037A1D"/>
    <w:rsid w:val="0004119F"/>
    <w:rsid w:val="00041495"/>
    <w:rsid w:val="00043109"/>
    <w:rsid w:val="00043BA4"/>
    <w:rsid w:val="00045126"/>
    <w:rsid w:val="00047737"/>
    <w:rsid w:val="0005120B"/>
    <w:rsid w:val="00053149"/>
    <w:rsid w:val="00055C21"/>
    <w:rsid w:val="00056556"/>
    <w:rsid w:val="00060597"/>
    <w:rsid w:val="00060CE0"/>
    <w:rsid w:val="000615CF"/>
    <w:rsid w:val="0006347A"/>
    <w:rsid w:val="000671EE"/>
    <w:rsid w:val="00070196"/>
    <w:rsid w:val="000701C3"/>
    <w:rsid w:val="00071DE3"/>
    <w:rsid w:val="00071E83"/>
    <w:rsid w:val="0007324B"/>
    <w:rsid w:val="00074623"/>
    <w:rsid w:val="00076F96"/>
    <w:rsid w:val="00082970"/>
    <w:rsid w:val="0008397E"/>
    <w:rsid w:val="00090E87"/>
    <w:rsid w:val="00090EB2"/>
    <w:rsid w:val="00097E64"/>
    <w:rsid w:val="000A1E68"/>
    <w:rsid w:val="000A2307"/>
    <w:rsid w:val="000A26F8"/>
    <w:rsid w:val="000A3DA4"/>
    <w:rsid w:val="000A51DB"/>
    <w:rsid w:val="000A7F88"/>
    <w:rsid w:val="000B0241"/>
    <w:rsid w:val="000B182B"/>
    <w:rsid w:val="000B2C2B"/>
    <w:rsid w:val="000B318D"/>
    <w:rsid w:val="000B483E"/>
    <w:rsid w:val="000B76CD"/>
    <w:rsid w:val="000D1918"/>
    <w:rsid w:val="000D2276"/>
    <w:rsid w:val="000D46E6"/>
    <w:rsid w:val="000D4B7C"/>
    <w:rsid w:val="000E189F"/>
    <w:rsid w:val="000E242A"/>
    <w:rsid w:val="000E2DE0"/>
    <w:rsid w:val="000E4A4D"/>
    <w:rsid w:val="000E5531"/>
    <w:rsid w:val="000E6931"/>
    <w:rsid w:val="000F0166"/>
    <w:rsid w:val="000F1D11"/>
    <w:rsid w:val="000F3390"/>
    <w:rsid w:val="000F3786"/>
    <w:rsid w:val="000F3C60"/>
    <w:rsid w:val="000F7B4B"/>
    <w:rsid w:val="00100F1E"/>
    <w:rsid w:val="00104732"/>
    <w:rsid w:val="00104FB1"/>
    <w:rsid w:val="001106F2"/>
    <w:rsid w:val="00110B09"/>
    <w:rsid w:val="0011191E"/>
    <w:rsid w:val="001147E4"/>
    <w:rsid w:val="00114AC4"/>
    <w:rsid w:val="00114FD2"/>
    <w:rsid w:val="001166E7"/>
    <w:rsid w:val="00117691"/>
    <w:rsid w:val="0012067D"/>
    <w:rsid w:val="00120FA6"/>
    <w:rsid w:val="00121523"/>
    <w:rsid w:val="00121A80"/>
    <w:rsid w:val="0012298D"/>
    <w:rsid w:val="00122EA1"/>
    <w:rsid w:val="00124296"/>
    <w:rsid w:val="001243C4"/>
    <w:rsid w:val="0012798F"/>
    <w:rsid w:val="00127D04"/>
    <w:rsid w:val="001303D3"/>
    <w:rsid w:val="001316F8"/>
    <w:rsid w:val="00132688"/>
    <w:rsid w:val="00132E64"/>
    <w:rsid w:val="001332BC"/>
    <w:rsid w:val="001340AD"/>
    <w:rsid w:val="0013461A"/>
    <w:rsid w:val="00137385"/>
    <w:rsid w:val="00140625"/>
    <w:rsid w:val="00142107"/>
    <w:rsid w:val="00145C0B"/>
    <w:rsid w:val="00145D2E"/>
    <w:rsid w:val="00146D53"/>
    <w:rsid w:val="00147907"/>
    <w:rsid w:val="00151C4B"/>
    <w:rsid w:val="00151F28"/>
    <w:rsid w:val="00153017"/>
    <w:rsid w:val="00155A0E"/>
    <w:rsid w:val="001602EE"/>
    <w:rsid w:val="001608F4"/>
    <w:rsid w:val="0016554C"/>
    <w:rsid w:val="00166461"/>
    <w:rsid w:val="0016715A"/>
    <w:rsid w:val="001679C2"/>
    <w:rsid w:val="00170824"/>
    <w:rsid w:val="0017273F"/>
    <w:rsid w:val="00172ABF"/>
    <w:rsid w:val="00173AA9"/>
    <w:rsid w:val="00177B68"/>
    <w:rsid w:val="00180CF8"/>
    <w:rsid w:val="00182DBF"/>
    <w:rsid w:val="00183AA6"/>
    <w:rsid w:val="001844AF"/>
    <w:rsid w:val="00184638"/>
    <w:rsid w:val="00187037"/>
    <w:rsid w:val="00194319"/>
    <w:rsid w:val="001948D4"/>
    <w:rsid w:val="00197198"/>
    <w:rsid w:val="001A0A30"/>
    <w:rsid w:val="001A102B"/>
    <w:rsid w:val="001A2BD2"/>
    <w:rsid w:val="001A3639"/>
    <w:rsid w:val="001A72B0"/>
    <w:rsid w:val="001B2E25"/>
    <w:rsid w:val="001B36FF"/>
    <w:rsid w:val="001B6A85"/>
    <w:rsid w:val="001C21AB"/>
    <w:rsid w:val="001C291D"/>
    <w:rsid w:val="001C2E2C"/>
    <w:rsid w:val="001C2FB0"/>
    <w:rsid w:val="001C3230"/>
    <w:rsid w:val="001C4131"/>
    <w:rsid w:val="001C472D"/>
    <w:rsid w:val="001D0ADB"/>
    <w:rsid w:val="001D2A39"/>
    <w:rsid w:val="001D2EC2"/>
    <w:rsid w:val="001D3381"/>
    <w:rsid w:val="001D38D9"/>
    <w:rsid w:val="001D42FD"/>
    <w:rsid w:val="001D50C7"/>
    <w:rsid w:val="001D62F3"/>
    <w:rsid w:val="001E1712"/>
    <w:rsid w:val="001E3AE1"/>
    <w:rsid w:val="001E4564"/>
    <w:rsid w:val="001E463E"/>
    <w:rsid w:val="001E48FC"/>
    <w:rsid w:val="001E51E8"/>
    <w:rsid w:val="001E5A4A"/>
    <w:rsid w:val="001F077E"/>
    <w:rsid w:val="001F275C"/>
    <w:rsid w:val="001F4B62"/>
    <w:rsid w:val="001F53DE"/>
    <w:rsid w:val="002014F1"/>
    <w:rsid w:val="002016DC"/>
    <w:rsid w:val="00202305"/>
    <w:rsid w:val="002037DD"/>
    <w:rsid w:val="00203FE2"/>
    <w:rsid w:val="00205C6F"/>
    <w:rsid w:val="002112BA"/>
    <w:rsid w:val="00211B40"/>
    <w:rsid w:val="0021430F"/>
    <w:rsid w:val="0022010B"/>
    <w:rsid w:val="00222BE8"/>
    <w:rsid w:val="00225BC5"/>
    <w:rsid w:val="00226765"/>
    <w:rsid w:val="002301CC"/>
    <w:rsid w:val="00230DF7"/>
    <w:rsid w:val="00233CA4"/>
    <w:rsid w:val="00237D8D"/>
    <w:rsid w:val="00243573"/>
    <w:rsid w:val="002438BD"/>
    <w:rsid w:val="00244F58"/>
    <w:rsid w:val="002502FA"/>
    <w:rsid w:val="002508F6"/>
    <w:rsid w:val="00253497"/>
    <w:rsid w:val="00253505"/>
    <w:rsid w:val="002537D8"/>
    <w:rsid w:val="00253D8D"/>
    <w:rsid w:val="00254C91"/>
    <w:rsid w:val="0026009A"/>
    <w:rsid w:val="00260B18"/>
    <w:rsid w:val="00261C1B"/>
    <w:rsid w:val="00263BB4"/>
    <w:rsid w:val="00264B5A"/>
    <w:rsid w:val="00265F33"/>
    <w:rsid w:val="002701FE"/>
    <w:rsid w:val="00271599"/>
    <w:rsid w:val="002750B4"/>
    <w:rsid w:val="002755E6"/>
    <w:rsid w:val="00277086"/>
    <w:rsid w:val="0027732C"/>
    <w:rsid w:val="00284880"/>
    <w:rsid w:val="00286092"/>
    <w:rsid w:val="00290135"/>
    <w:rsid w:val="00294F4F"/>
    <w:rsid w:val="0029606D"/>
    <w:rsid w:val="002973C7"/>
    <w:rsid w:val="002A0CAD"/>
    <w:rsid w:val="002A32E1"/>
    <w:rsid w:val="002A3E00"/>
    <w:rsid w:val="002A5246"/>
    <w:rsid w:val="002A64B4"/>
    <w:rsid w:val="002A67EB"/>
    <w:rsid w:val="002A7BF8"/>
    <w:rsid w:val="002B0F91"/>
    <w:rsid w:val="002B4292"/>
    <w:rsid w:val="002B4C83"/>
    <w:rsid w:val="002C0358"/>
    <w:rsid w:val="002C048B"/>
    <w:rsid w:val="002C1222"/>
    <w:rsid w:val="002C2F22"/>
    <w:rsid w:val="002C409D"/>
    <w:rsid w:val="002C41C0"/>
    <w:rsid w:val="002C4FC3"/>
    <w:rsid w:val="002C5B09"/>
    <w:rsid w:val="002D063C"/>
    <w:rsid w:val="002D2CF6"/>
    <w:rsid w:val="002D31DC"/>
    <w:rsid w:val="002D3F3C"/>
    <w:rsid w:val="002D4032"/>
    <w:rsid w:val="002D5A5E"/>
    <w:rsid w:val="002D7462"/>
    <w:rsid w:val="002E0919"/>
    <w:rsid w:val="002E2F22"/>
    <w:rsid w:val="002E3CC3"/>
    <w:rsid w:val="002F5BA9"/>
    <w:rsid w:val="00301AC3"/>
    <w:rsid w:val="00302690"/>
    <w:rsid w:val="00302982"/>
    <w:rsid w:val="00303418"/>
    <w:rsid w:val="00316104"/>
    <w:rsid w:val="00317237"/>
    <w:rsid w:val="00321960"/>
    <w:rsid w:val="00322E30"/>
    <w:rsid w:val="00324C04"/>
    <w:rsid w:val="003340DF"/>
    <w:rsid w:val="00334343"/>
    <w:rsid w:val="003347A0"/>
    <w:rsid w:val="00336F88"/>
    <w:rsid w:val="00340FF0"/>
    <w:rsid w:val="00341A6E"/>
    <w:rsid w:val="00342CC3"/>
    <w:rsid w:val="00343E0C"/>
    <w:rsid w:val="00344DA3"/>
    <w:rsid w:val="00350F9A"/>
    <w:rsid w:val="00351987"/>
    <w:rsid w:val="00351F4C"/>
    <w:rsid w:val="00352A64"/>
    <w:rsid w:val="0035334E"/>
    <w:rsid w:val="003557E4"/>
    <w:rsid w:val="00361A29"/>
    <w:rsid w:val="0036715B"/>
    <w:rsid w:val="00367E4A"/>
    <w:rsid w:val="00371465"/>
    <w:rsid w:val="0037414E"/>
    <w:rsid w:val="0037427E"/>
    <w:rsid w:val="00375606"/>
    <w:rsid w:val="00381A7A"/>
    <w:rsid w:val="00385438"/>
    <w:rsid w:val="003878A5"/>
    <w:rsid w:val="00390619"/>
    <w:rsid w:val="00390C49"/>
    <w:rsid w:val="0039202C"/>
    <w:rsid w:val="00392B94"/>
    <w:rsid w:val="00393F4B"/>
    <w:rsid w:val="00394377"/>
    <w:rsid w:val="003948FC"/>
    <w:rsid w:val="003978C8"/>
    <w:rsid w:val="003A0463"/>
    <w:rsid w:val="003A0C24"/>
    <w:rsid w:val="003A2485"/>
    <w:rsid w:val="003A264D"/>
    <w:rsid w:val="003A31A0"/>
    <w:rsid w:val="003A326C"/>
    <w:rsid w:val="003A3696"/>
    <w:rsid w:val="003A42FA"/>
    <w:rsid w:val="003A5841"/>
    <w:rsid w:val="003A6755"/>
    <w:rsid w:val="003B1AA3"/>
    <w:rsid w:val="003B32B0"/>
    <w:rsid w:val="003B59D9"/>
    <w:rsid w:val="003C1EB9"/>
    <w:rsid w:val="003C3249"/>
    <w:rsid w:val="003C3EA0"/>
    <w:rsid w:val="003C419C"/>
    <w:rsid w:val="003C41EC"/>
    <w:rsid w:val="003C4942"/>
    <w:rsid w:val="003D01EF"/>
    <w:rsid w:val="003D14CC"/>
    <w:rsid w:val="003D3B34"/>
    <w:rsid w:val="003D46AE"/>
    <w:rsid w:val="003E323B"/>
    <w:rsid w:val="003E39D4"/>
    <w:rsid w:val="003E549A"/>
    <w:rsid w:val="003E5A89"/>
    <w:rsid w:val="003F0B67"/>
    <w:rsid w:val="003F1F24"/>
    <w:rsid w:val="003F595E"/>
    <w:rsid w:val="003F6574"/>
    <w:rsid w:val="003F6E09"/>
    <w:rsid w:val="003F728E"/>
    <w:rsid w:val="00402EDB"/>
    <w:rsid w:val="004100FD"/>
    <w:rsid w:val="0041232A"/>
    <w:rsid w:val="004125FC"/>
    <w:rsid w:val="00412AD9"/>
    <w:rsid w:val="00415492"/>
    <w:rsid w:val="004178C8"/>
    <w:rsid w:val="00423C35"/>
    <w:rsid w:val="004278D4"/>
    <w:rsid w:val="00430D45"/>
    <w:rsid w:val="00431DA3"/>
    <w:rsid w:val="00432A0C"/>
    <w:rsid w:val="00433DE5"/>
    <w:rsid w:val="00437A54"/>
    <w:rsid w:val="00442031"/>
    <w:rsid w:val="004443C8"/>
    <w:rsid w:val="0044481F"/>
    <w:rsid w:val="004454F7"/>
    <w:rsid w:val="00450079"/>
    <w:rsid w:val="004504E7"/>
    <w:rsid w:val="0045373C"/>
    <w:rsid w:val="00453C0B"/>
    <w:rsid w:val="00456071"/>
    <w:rsid w:val="00456737"/>
    <w:rsid w:val="00456A72"/>
    <w:rsid w:val="00456A79"/>
    <w:rsid w:val="00461EDE"/>
    <w:rsid w:val="004638A8"/>
    <w:rsid w:val="00470220"/>
    <w:rsid w:val="00471E78"/>
    <w:rsid w:val="0047252B"/>
    <w:rsid w:val="00472C32"/>
    <w:rsid w:val="00472D58"/>
    <w:rsid w:val="00473996"/>
    <w:rsid w:val="0047592F"/>
    <w:rsid w:val="004767E9"/>
    <w:rsid w:val="00476AF1"/>
    <w:rsid w:val="00477EF4"/>
    <w:rsid w:val="004823A5"/>
    <w:rsid w:val="00484559"/>
    <w:rsid w:val="004852B6"/>
    <w:rsid w:val="004854B1"/>
    <w:rsid w:val="004876D3"/>
    <w:rsid w:val="004909BB"/>
    <w:rsid w:val="0049197F"/>
    <w:rsid w:val="00493DD9"/>
    <w:rsid w:val="00496CF3"/>
    <w:rsid w:val="00496D57"/>
    <w:rsid w:val="004A135E"/>
    <w:rsid w:val="004A373F"/>
    <w:rsid w:val="004A464E"/>
    <w:rsid w:val="004A4859"/>
    <w:rsid w:val="004B0832"/>
    <w:rsid w:val="004B1D23"/>
    <w:rsid w:val="004B5CC9"/>
    <w:rsid w:val="004B72BC"/>
    <w:rsid w:val="004C0FC4"/>
    <w:rsid w:val="004C1246"/>
    <w:rsid w:val="004C1EC2"/>
    <w:rsid w:val="004C4F15"/>
    <w:rsid w:val="004C61B8"/>
    <w:rsid w:val="004C7700"/>
    <w:rsid w:val="004D028D"/>
    <w:rsid w:val="004D3D71"/>
    <w:rsid w:val="004D4FBD"/>
    <w:rsid w:val="004E1031"/>
    <w:rsid w:val="004E16F4"/>
    <w:rsid w:val="004E2788"/>
    <w:rsid w:val="004E28A4"/>
    <w:rsid w:val="004E3E2A"/>
    <w:rsid w:val="004E441F"/>
    <w:rsid w:val="004F0E59"/>
    <w:rsid w:val="004F1A93"/>
    <w:rsid w:val="004F27DA"/>
    <w:rsid w:val="004F29A2"/>
    <w:rsid w:val="004F2EAE"/>
    <w:rsid w:val="004F2FDA"/>
    <w:rsid w:val="004F49DE"/>
    <w:rsid w:val="004F4C83"/>
    <w:rsid w:val="004F564A"/>
    <w:rsid w:val="004F6088"/>
    <w:rsid w:val="0050055F"/>
    <w:rsid w:val="00501A8E"/>
    <w:rsid w:val="00502983"/>
    <w:rsid w:val="005045F2"/>
    <w:rsid w:val="0051102B"/>
    <w:rsid w:val="0051110B"/>
    <w:rsid w:val="00513E02"/>
    <w:rsid w:val="005141F0"/>
    <w:rsid w:val="00514727"/>
    <w:rsid w:val="0051691A"/>
    <w:rsid w:val="005216DB"/>
    <w:rsid w:val="00522BE1"/>
    <w:rsid w:val="00525134"/>
    <w:rsid w:val="00527055"/>
    <w:rsid w:val="00527860"/>
    <w:rsid w:val="005302E8"/>
    <w:rsid w:val="00537C60"/>
    <w:rsid w:val="005403BB"/>
    <w:rsid w:val="00540508"/>
    <w:rsid w:val="00541462"/>
    <w:rsid w:val="00545692"/>
    <w:rsid w:val="00547939"/>
    <w:rsid w:val="0055006E"/>
    <w:rsid w:val="005528A4"/>
    <w:rsid w:val="0055343F"/>
    <w:rsid w:val="005538B1"/>
    <w:rsid w:val="005570A3"/>
    <w:rsid w:val="00557BB6"/>
    <w:rsid w:val="005617E0"/>
    <w:rsid w:val="005618EC"/>
    <w:rsid w:val="005623D2"/>
    <w:rsid w:val="0056793D"/>
    <w:rsid w:val="00570476"/>
    <w:rsid w:val="005758B0"/>
    <w:rsid w:val="0057593B"/>
    <w:rsid w:val="005761DA"/>
    <w:rsid w:val="00576B9B"/>
    <w:rsid w:val="005775A5"/>
    <w:rsid w:val="00577A94"/>
    <w:rsid w:val="00577CD6"/>
    <w:rsid w:val="00581C4B"/>
    <w:rsid w:val="005820C9"/>
    <w:rsid w:val="00582F58"/>
    <w:rsid w:val="005847C1"/>
    <w:rsid w:val="005903E6"/>
    <w:rsid w:val="005906A6"/>
    <w:rsid w:val="00590E74"/>
    <w:rsid w:val="00593B63"/>
    <w:rsid w:val="005A1F8D"/>
    <w:rsid w:val="005A6087"/>
    <w:rsid w:val="005A67BB"/>
    <w:rsid w:val="005A740E"/>
    <w:rsid w:val="005B0120"/>
    <w:rsid w:val="005B0BCC"/>
    <w:rsid w:val="005B2090"/>
    <w:rsid w:val="005B2A3B"/>
    <w:rsid w:val="005B2A9E"/>
    <w:rsid w:val="005B2AFE"/>
    <w:rsid w:val="005B39F8"/>
    <w:rsid w:val="005B3F4F"/>
    <w:rsid w:val="005C2B4E"/>
    <w:rsid w:val="005C5E3B"/>
    <w:rsid w:val="005C663F"/>
    <w:rsid w:val="005C79E2"/>
    <w:rsid w:val="005D07B3"/>
    <w:rsid w:val="005D1611"/>
    <w:rsid w:val="005E0DCD"/>
    <w:rsid w:val="005E5234"/>
    <w:rsid w:val="005E7F3F"/>
    <w:rsid w:val="005F38E6"/>
    <w:rsid w:val="005F6CAA"/>
    <w:rsid w:val="00602DE5"/>
    <w:rsid w:val="0060451F"/>
    <w:rsid w:val="006049B5"/>
    <w:rsid w:val="006054BF"/>
    <w:rsid w:val="0060556C"/>
    <w:rsid w:val="00605FB9"/>
    <w:rsid w:val="006077DA"/>
    <w:rsid w:val="00613495"/>
    <w:rsid w:val="006138A9"/>
    <w:rsid w:val="00616699"/>
    <w:rsid w:val="006217C9"/>
    <w:rsid w:val="006217CD"/>
    <w:rsid w:val="00622118"/>
    <w:rsid w:val="00622A7A"/>
    <w:rsid w:val="00623F3E"/>
    <w:rsid w:val="00626C25"/>
    <w:rsid w:val="00632581"/>
    <w:rsid w:val="0063404D"/>
    <w:rsid w:val="00637C57"/>
    <w:rsid w:val="00640710"/>
    <w:rsid w:val="00642967"/>
    <w:rsid w:val="00643C82"/>
    <w:rsid w:val="00655583"/>
    <w:rsid w:val="00657A43"/>
    <w:rsid w:val="00660860"/>
    <w:rsid w:val="00660BC7"/>
    <w:rsid w:val="0066177F"/>
    <w:rsid w:val="00661FD1"/>
    <w:rsid w:val="006631A6"/>
    <w:rsid w:val="006635EA"/>
    <w:rsid w:val="0066581C"/>
    <w:rsid w:val="00670F37"/>
    <w:rsid w:val="00674510"/>
    <w:rsid w:val="0067548C"/>
    <w:rsid w:val="0068029A"/>
    <w:rsid w:val="00684358"/>
    <w:rsid w:val="00686D4F"/>
    <w:rsid w:val="00687BC5"/>
    <w:rsid w:val="00691763"/>
    <w:rsid w:val="0069233D"/>
    <w:rsid w:val="006A28D5"/>
    <w:rsid w:val="006A3076"/>
    <w:rsid w:val="006A3B57"/>
    <w:rsid w:val="006A4BE5"/>
    <w:rsid w:val="006A55AD"/>
    <w:rsid w:val="006A65EF"/>
    <w:rsid w:val="006C492D"/>
    <w:rsid w:val="006C6369"/>
    <w:rsid w:val="006D2826"/>
    <w:rsid w:val="006D44DF"/>
    <w:rsid w:val="006D582C"/>
    <w:rsid w:val="006D6106"/>
    <w:rsid w:val="006E16EF"/>
    <w:rsid w:val="006E58B8"/>
    <w:rsid w:val="006E628F"/>
    <w:rsid w:val="006E7D08"/>
    <w:rsid w:val="006F0642"/>
    <w:rsid w:val="006F069F"/>
    <w:rsid w:val="006F0977"/>
    <w:rsid w:val="006F19A2"/>
    <w:rsid w:val="006F320A"/>
    <w:rsid w:val="006F4AF1"/>
    <w:rsid w:val="006F6C03"/>
    <w:rsid w:val="006F793B"/>
    <w:rsid w:val="006F7A1E"/>
    <w:rsid w:val="007014BE"/>
    <w:rsid w:val="00704458"/>
    <w:rsid w:val="0070677A"/>
    <w:rsid w:val="00707093"/>
    <w:rsid w:val="00707748"/>
    <w:rsid w:val="00707A12"/>
    <w:rsid w:val="007103AB"/>
    <w:rsid w:val="007107BA"/>
    <w:rsid w:val="00710CE7"/>
    <w:rsid w:val="007227D3"/>
    <w:rsid w:val="00730BED"/>
    <w:rsid w:val="007327B6"/>
    <w:rsid w:val="00737112"/>
    <w:rsid w:val="007375F9"/>
    <w:rsid w:val="007377CC"/>
    <w:rsid w:val="007418CF"/>
    <w:rsid w:val="007443AD"/>
    <w:rsid w:val="00745BA7"/>
    <w:rsid w:val="00745F2F"/>
    <w:rsid w:val="007469D2"/>
    <w:rsid w:val="0075198B"/>
    <w:rsid w:val="007543DE"/>
    <w:rsid w:val="007566F0"/>
    <w:rsid w:val="00760780"/>
    <w:rsid w:val="00763624"/>
    <w:rsid w:val="0076441E"/>
    <w:rsid w:val="0076657F"/>
    <w:rsid w:val="00774B22"/>
    <w:rsid w:val="00777A09"/>
    <w:rsid w:val="007837F3"/>
    <w:rsid w:val="007904A7"/>
    <w:rsid w:val="00794C4E"/>
    <w:rsid w:val="007963A2"/>
    <w:rsid w:val="007A6F05"/>
    <w:rsid w:val="007B097B"/>
    <w:rsid w:val="007B6642"/>
    <w:rsid w:val="007C5CDC"/>
    <w:rsid w:val="007C6DEF"/>
    <w:rsid w:val="007C7C36"/>
    <w:rsid w:val="007D1C46"/>
    <w:rsid w:val="007D340E"/>
    <w:rsid w:val="007D5A8A"/>
    <w:rsid w:val="007D62CA"/>
    <w:rsid w:val="007D66C2"/>
    <w:rsid w:val="007D765B"/>
    <w:rsid w:val="007E0BFD"/>
    <w:rsid w:val="007E158B"/>
    <w:rsid w:val="007E20CA"/>
    <w:rsid w:val="007F042D"/>
    <w:rsid w:val="007F0737"/>
    <w:rsid w:val="007F0940"/>
    <w:rsid w:val="007F19AC"/>
    <w:rsid w:val="007F1E62"/>
    <w:rsid w:val="007F24F6"/>
    <w:rsid w:val="007F2A0D"/>
    <w:rsid w:val="007F2A7E"/>
    <w:rsid w:val="007F552B"/>
    <w:rsid w:val="007F63EC"/>
    <w:rsid w:val="00800C47"/>
    <w:rsid w:val="00803F1B"/>
    <w:rsid w:val="008056A7"/>
    <w:rsid w:val="00805852"/>
    <w:rsid w:val="00805B22"/>
    <w:rsid w:val="00810805"/>
    <w:rsid w:val="00810F55"/>
    <w:rsid w:val="00811A91"/>
    <w:rsid w:val="00814958"/>
    <w:rsid w:val="008149CF"/>
    <w:rsid w:val="00816CA5"/>
    <w:rsid w:val="00817FC3"/>
    <w:rsid w:val="00823E54"/>
    <w:rsid w:val="00824A4E"/>
    <w:rsid w:val="008254E7"/>
    <w:rsid w:val="0083477F"/>
    <w:rsid w:val="00837152"/>
    <w:rsid w:val="00837596"/>
    <w:rsid w:val="00840886"/>
    <w:rsid w:val="008408A0"/>
    <w:rsid w:val="00846E88"/>
    <w:rsid w:val="008501A5"/>
    <w:rsid w:val="00854ADE"/>
    <w:rsid w:val="008576F0"/>
    <w:rsid w:val="00857C89"/>
    <w:rsid w:val="00857FE1"/>
    <w:rsid w:val="008611F2"/>
    <w:rsid w:val="0086125A"/>
    <w:rsid w:val="00861E1F"/>
    <w:rsid w:val="00861EE2"/>
    <w:rsid w:val="00862598"/>
    <w:rsid w:val="00864151"/>
    <w:rsid w:val="00865C0D"/>
    <w:rsid w:val="00867F1E"/>
    <w:rsid w:val="008707CA"/>
    <w:rsid w:val="00871650"/>
    <w:rsid w:val="00872A55"/>
    <w:rsid w:val="00873542"/>
    <w:rsid w:val="00880C71"/>
    <w:rsid w:val="0088117B"/>
    <w:rsid w:val="00882531"/>
    <w:rsid w:val="0088714E"/>
    <w:rsid w:val="00887FA5"/>
    <w:rsid w:val="008926B7"/>
    <w:rsid w:val="0089561E"/>
    <w:rsid w:val="008A0590"/>
    <w:rsid w:val="008B063A"/>
    <w:rsid w:val="008B066F"/>
    <w:rsid w:val="008B2878"/>
    <w:rsid w:val="008B2A80"/>
    <w:rsid w:val="008B4122"/>
    <w:rsid w:val="008B534E"/>
    <w:rsid w:val="008B536E"/>
    <w:rsid w:val="008B5F79"/>
    <w:rsid w:val="008B61CE"/>
    <w:rsid w:val="008C2242"/>
    <w:rsid w:val="008C2FFC"/>
    <w:rsid w:val="008C3D85"/>
    <w:rsid w:val="008D2512"/>
    <w:rsid w:val="008D3423"/>
    <w:rsid w:val="008D416F"/>
    <w:rsid w:val="008D6580"/>
    <w:rsid w:val="008E1E2A"/>
    <w:rsid w:val="008E277B"/>
    <w:rsid w:val="008E3748"/>
    <w:rsid w:val="008E45DE"/>
    <w:rsid w:val="008E765D"/>
    <w:rsid w:val="008F733C"/>
    <w:rsid w:val="00904292"/>
    <w:rsid w:val="00910626"/>
    <w:rsid w:val="00910AC9"/>
    <w:rsid w:val="0091236B"/>
    <w:rsid w:val="009135EF"/>
    <w:rsid w:val="009150AA"/>
    <w:rsid w:val="009167EA"/>
    <w:rsid w:val="00916E26"/>
    <w:rsid w:val="00917CF5"/>
    <w:rsid w:val="009203AD"/>
    <w:rsid w:val="00920BA7"/>
    <w:rsid w:val="00921D50"/>
    <w:rsid w:val="00923ABF"/>
    <w:rsid w:val="009257CF"/>
    <w:rsid w:val="00926D34"/>
    <w:rsid w:val="00926E93"/>
    <w:rsid w:val="00927FAF"/>
    <w:rsid w:val="0093066E"/>
    <w:rsid w:val="00930C66"/>
    <w:rsid w:val="00933AD4"/>
    <w:rsid w:val="00935D37"/>
    <w:rsid w:val="00936389"/>
    <w:rsid w:val="00940633"/>
    <w:rsid w:val="009413D6"/>
    <w:rsid w:val="009418C7"/>
    <w:rsid w:val="00942DC2"/>
    <w:rsid w:val="009433EF"/>
    <w:rsid w:val="00943770"/>
    <w:rsid w:val="0094465F"/>
    <w:rsid w:val="00947975"/>
    <w:rsid w:val="00956CA1"/>
    <w:rsid w:val="00957FC8"/>
    <w:rsid w:val="0096020A"/>
    <w:rsid w:val="00960DBD"/>
    <w:rsid w:val="00960E8B"/>
    <w:rsid w:val="009618C6"/>
    <w:rsid w:val="0096652B"/>
    <w:rsid w:val="00967743"/>
    <w:rsid w:val="009700AC"/>
    <w:rsid w:val="00970E4B"/>
    <w:rsid w:val="0097162D"/>
    <w:rsid w:val="0097473C"/>
    <w:rsid w:val="00974D3A"/>
    <w:rsid w:val="0097594A"/>
    <w:rsid w:val="00977B8C"/>
    <w:rsid w:val="00980419"/>
    <w:rsid w:val="00980D23"/>
    <w:rsid w:val="00983562"/>
    <w:rsid w:val="00985E2D"/>
    <w:rsid w:val="00990379"/>
    <w:rsid w:val="0099164F"/>
    <w:rsid w:val="00994467"/>
    <w:rsid w:val="00994538"/>
    <w:rsid w:val="00995057"/>
    <w:rsid w:val="0099782D"/>
    <w:rsid w:val="00997D7A"/>
    <w:rsid w:val="009A323D"/>
    <w:rsid w:val="009A4D6E"/>
    <w:rsid w:val="009A54A9"/>
    <w:rsid w:val="009B0F62"/>
    <w:rsid w:val="009B4126"/>
    <w:rsid w:val="009B4573"/>
    <w:rsid w:val="009B5ABF"/>
    <w:rsid w:val="009B6906"/>
    <w:rsid w:val="009B7AF2"/>
    <w:rsid w:val="009B7E26"/>
    <w:rsid w:val="009C0CFE"/>
    <w:rsid w:val="009C323E"/>
    <w:rsid w:val="009C3D15"/>
    <w:rsid w:val="009D16DF"/>
    <w:rsid w:val="009D1830"/>
    <w:rsid w:val="009D1AC9"/>
    <w:rsid w:val="009D1DF7"/>
    <w:rsid w:val="009D3B7A"/>
    <w:rsid w:val="009D417C"/>
    <w:rsid w:val="009D455E"/>
    <w:rsid w:val="009E41F1"/>
    <w:rsid w:val="009E6969"/>
    <w:rsid w:val="009F13D4"/>
    <w:rsid w:val="009F14F1"/>
    <w:rsid w:val="009F1CFB"/>
    <w:rsid w:val="009F1DFF"/>
    <w:rsid w:val="009F35D0"/>
    <w:rsid w:val="009F3B9B"/>
    <w:rsid w:val="009F5A1E"/>
    <w:rsid w:val="009F69BD"/>
    <w:rsid w:val="009F69DB"/>
    <w:rsid w:val="009F6E0B"/>
    <w:rsid w:val="00A0130C"/>
    <w:rsid w:val="00A013CD"/>
    <w:rsid w:val="00A027F4"/>
    <w:rsid w:val="00A0337F"/>
    <w:rsid w:val="00A055DB"/>
    <w:rsid w:val="00A0595F"/>
    <w:rsid w:val="00A12557"/>
    <w:rsid w:val="00A12B15"/>
    <w:rsid w:val="00A1338D"/>
    <w:rsid w:val="00A156FF"/>
    <w:rsid w:val="00A15728"/>
    <w:rsid w:val="00A15F73"/>
    <w:rsid w:val="00A1646A"/>
    <w:rsid w:val="00A17257"/>
    <w:rsid w:val="00A1771F"/>
    <w:rsid w:val="00A17737"/>
    <w:rsid w:val="00A206AD"/>
    <w:rsid w:val="00A21826"/>
    <w:rsid w:val="00A223A7"/>
    <w:rsid w:val="00A22CDE"/>
    <w:rsid w:val="00A22ED2"/>
    <w:rsid w:val="00A23026"/>
    <w:rsid w:val="00A23044"/>
    <w:rsid w:val="00A26DD8"/>
    <w:rsid w:val="00A3282B"/>
    <w:rsid w:val="00A3667B"/>
    <w:rsid w:val="00A41CDE"/>
    <w:rsid w:val="00A42678"/>
    <w:rsid w:val="00A44782"/>
    <w:rsid w:val="00A51056"/>
    <w:rsid w:val="00A52ADA"/>
    <w:rsid w:val="00A54A96"/>
    <w:rsid w:val="00A54C2D"/>
    <w:rsid w:val="00A55F01"/>
    <w:rsid w:val="00A5779D"/>
    <w:rsid w:val="00A62053"/>
    <w:rsid w:val="00A66B95"/>
    <w:rsid w:val="00A67E61"/>
    <w:rsid w:val="00A746B2"/>
    <w:rsid w:val="00A74FC4"/>
    <w:rsid w:val="00A8034A"/>
    <w:rsid w:val="00A81344"/>
    <w:rsid w:val="00A8144C"/>
    <w:rsid w:val="00A82198"/>
    <w:rsid w:val="00A85729"/>
    <w:rsid w:val="00A869B9"/>
    <w:rsid w:val="00A871E1"/>
    <w:rsid w:val="00A872AA"/>
    <w:rsid w:val="00A87303"/>
    <w:rsid w:val="00A925C8"/>
    <w:rsid w:val="00A93C26"/>
    <w:rsid w:val="00A9486C"/>
    <w:rsid w:val="00A94FB8"/>
    <w:rsid w:val="00A96790"/>
    <w:rsid w:val="00AA07BD"/>
    <w:rsid w:val="00AA3212"/>
    <w:rsid w:val="00AA3545"/>
    <w:rsid w:val="00AA4BD1"/>
    <w:rsid w:val="00AB27A7"/>
    <w:rsid w:val="00AB301E"/>
    <w:rsid w:val="00AB38D9"/>
    <w:rsid w:val="00AB7DAC"/>
    <w:rsid w:val="00AC1974"/>
    <w:rsid w:val="00AC2132"/>
    <w:rsid w:val="00AC4D0F"/>
    <w:rsid w:val="00AC6193"/>
    <w:rsid w:val="00AC685E"/>
    <w:rsid w:val="00AD04B0"/>
    <w:rsid w:val="00AD0907"/>
    <w:rsid w:val="00AD29ED"/>
    <w:rsid w:val="00AD5212"/>
    <w:rsid w:val="00AD57D5"/>
    <w:rsid w:val="00AE14C5"/>
    <w:rsid w:val="00AE36EC"/>
    <w:rsid w:val="00AE43B0"/>
    <w:rsid w:val="00AE4C6F"/>
    <w:rsid w:val="00AE5AAD"/>
    <w:rsid w:val="00AE5CC0"/>
    <w:rsid w:val="00AE688F"/>
    <w:rsid w:val="00AF0A6F"/>
    <w:rsid w:val="00AF2682"/>
    <w:rsid w:val="00AF31FA"/>
    <w:rsid w:val="00AF375F"/>
    <w:rsid w:val="00AF400E"/>
    <w:rsid w:val="00AF4411"/>
    <w:rsid w:val="00AF51A3"/>
    <w:rsid w:val="00AF53DE"/>
    <w:rsid w:val="00AF6933"/>
    <w:rsid w:val="00AF7027"/>
    <w:rsid w:val="00B00D15"/>
    <w:rsid w:val="00B041F1"/>
    <w:rsid w:val="00B05A19"/>
    <w:rsid w:val="00B05C1E"/>
    <w:rsid w:val="00B0602B"/>
    <w:rsid w:val="00B065B9"/>
    <w:rsid w:val="00B07A9F"/>
    <w:rsid w:val="00B12051"/>
    <w:rsid w:val="00B1350C"/>
    <w:rsid w:val="00B13789"/>
    <w:rsid w:val="00B15D33"/>
    <w:rsid w:val="00B162C3"/>
    <w:rsid w:val="00B22EA7"/>
    <w:rsid w:val="00B246E2"/>
    <w:rsid w:val="00B269DB"/>
    <w:rsid w:val="00B332D7"/>
    <w:rsid w:val="00B3342A"/>
    <w:rsid w:val="00B40DCF"/>
    <w:rsid w:val="00B41574"/>
    <w:rsid w:val="00B43C7B"/>
    <w:rsid w:val="00B4489A"/>
    <w:rsid w:val="00B4656E"/>
    <w:rsid w:val="00B47AB4"/>
    <w:rsid w:val="00B509ED"/>
    <w:rsid w:val="00B5388B"/>
    <w:rsid w:val="00B54162"/>
    <w:rsid w:val="00B542D3"/>
    <w:rsid w:val="00B560B0"/>
    <w:rsid w:val="00B56A1E"/>
    <w:rsid w:val="00B57284"/>
    <w:rsid w:val="00B6035B"/>
    <w:rsid w:val="00B64E58"/>
    <w:rsid w:val="00B666ED"/>
    <w:rsid w:val="00B70DED"/>
    <w:rsid w:val="00B7317D"/>
    <w:rsid w:val="00B73533"/>
    <w:rsid w:val="00B73E35"/>
    <w:rsid w:val="00B76556"/>
    <w:rsid w:val="00B836D5"/>
    <w:rsid w:val="00B840AB"/>
    <w:rsid w:val="00B84FE0"/>
    <w:rsid w:val="00B90C4D"/>
    <w:rsid w:val="00B92C79"/>
    <w:rsid w:val="00B952EB"/>
    <w:rsid w:val="00B96270"/>
    <w:rsid w:val="00B97680"/>
    <w:rsid w:val="00BA069E"/>
    <w:rsid w:val="00BA0EAF"/>
    <w:rsid w:val="00BA12FD"/>
    <w:rsid w:val="00BA5DE0"/>
    <w:rsid w:val="00BA69BB"/>
    <w:rsid w:val="00BA7956"/>
    <w:rsid w:val="00BA7B67"/>
    <w:rsid w:val="00BB143A"/>
    <w:rsid w:val="00BB77ED"/>
    <w:rsid w:val="00BC07D9"/>
    <w:rsid w:val="00BC0F68"/>
    <w:rsid w:val="00BC5ACB"/>
    <w:rsid w:val="00BD0A62"/>
    <w:rsid w:val="00BD0B0A"/>
    <w:rsid w:val="00BD156F"/>
    <w:rsid w:val="00BD1AAA"/>
    <w:rsid w:val="00BD3403"/>
    <w:rsid w:val="00BD3778"/>
    <w:rsid w:val="00BD384E"/>
    <w:rsid w:val="00BD6CB8"/>
    <w:rsid w:val="00BE03FB"/>
    <w:rsid w:val="00BE1A66"/>
    <w:rsid w:val="00BE25B8"/>
    <w:rsid w:val="00BE472B"/>
    <w:rsid w:val="00BE5150"/>
    <w:rsid w:val="00BE5638"/>
    <w:rsid w:val="00BF04ED"/>
    <w:rsid w:val="00BF37DC"/>
    <w:rsid w:val="00BF60EE"/>
    <w:rsid w:val="00BF7550"/>
    <w:rsid w:val="00C0138E"/>
    <w:rsid w:val="00C023A4"/>
    <w:rsid w:val="00C03B39"/>
    <w:rsid w:val="00C03DAB"/>
    <w:rsid w:val="00C0403E"/>
    <w:rsid w:val="00C05D5F"/>
    <w:rsid w:val="00C062CC"/>
    <w:rsid w:val="00C06C13"/>
    <w:rsid w:val="00C076E1"/>
    <w:rsid w:val="00C10609"/>
    <w:rsid w:val="00C1296E"/>
    <w:rsid w:val="00C168B8"/>
    <w:rsid w:val="00C16B94"/>
    <w:rsid w:val="00C2004B"/>
    <w:rsid w:val="00C22AFA"/>
    <w:rsid w:val="00C24A34"/>
    <w:rsid w:val="00C275DE"/>
    <w:rsid w:val="00C344E7"/>
    <w:rsid w:val="00C34C2B"/>
    <w:rsid w:val="00C471EE"/>
    <w:rsid w:val="00C5090D"/>
    <w:rsid w:val="00C516A1"/>
    <w:rsid w:val="00C531FF"/>
    <w:rsid w:val="00C53663"/>
    <w:rsid w:val="00C543E3"/>
    <w:rsid w:val="00C54463"/>
    <w:rsid w:val="00C625FA"/>
    <w:rsid w:val="00C644C7"/>
    <w:rsid w:val="00C659D0"/>
    <w:rsid w:val="00C65F9B"/>
    <w:rsid w:val="00C66A8C"/>
    <w:rsid w:val="00C67DA4"/>
    <w:rsid w:val="00C70168"/>
    <w:rsid w:val="00C70F21"/>
    <w:rsid w:val="00C71935"/>
    <w:rsid w:val="00C72875"/>
    <w:rsid w:val="00C72993"/>
    <w:rsid w:val="00C757DA"/>
    <w:rsid w:val="00C77A95"/>
    <w:rsid w:val="00C80569"/>
    <w:rsid w:val="00C81A60"/>
    <w:rsid w:val="00C82864"/>
    <w:rsid w:val="00C86D95"/>
    <w:rsid w:val="00C903C3"/>
    <w:rsid w:val="00C9086C"/>
    <w:rsid w:val="00C91FF9"/>
    <w:rsid w:val="00C92F43"/>
    <w:rsid w:val="00C944E5"/>
    <w:rsid w:val="00C96FC0"/>
    <w:rsid w:val="00CA30D7"/>
    <w:rsid w:val="00CA4F90"/>
    <w:rsid w:val="00CB3AE8"/>
    <w:rsid w:val="00CB3EA3"/>
    <w:rsid w:val="00CB5D2C"/>
    <w:rsid w:val="00CC14E4"/>
    <w:rsid w:val="00CC2443"/>
    <w:rsid w:val="00CD1675"/>
    <w:rsid w:val="00CD399D"/>
    <w:rsid w:val="00CD4642"/>
    <w:rsid w:val="00CD5308"/>
    <w:rsid w:val="00CE2266"/>
    <w:rsid w:val="00CE5E6E"/>
    <w:rsid w:val="00CE618F"/>
    <w:rsid w:val="00CE6508"/>
    <w:rsid w:val="00CF77E7"/>
    <w:rsid w:val="00CF7E4F"/>
    <w:rsid w:val="00D023FE"/>
    <w:rsid w:val="00D0487F"/>
    <w:rsid w:val="00D101F0"/>
    <w:rsid w:val="00D1209D"/>
    <w:rsid w:val="00D122FC"/>
    <w:rsid w:val="00D13AEB"/>
    <w:rsid w:val="00D14674"/>
    <w:rsid w:val="00D14BFB"/>
    <w:rsid w:val="00D178DE"/>
    <w:rsid w:val="00D202DB"/>
    <w:rsid w:val="00D21A57"/>
    <w:rsid w:val="00D2210B"/>
    <w:rsid w:val="00D222CE"/>
    <w:rsid w:val="00D252DC"/>
    <w:rsid w:val="00D3737D"/>
    <w:rsid w:val="00D37406"/>
    <w:rsid w:val="00D377BF"/>
    <w:rsid w:val="00D4207E"/>
    <w:rsid w:val="00D44386"/>
    <w:rsid w:val="00D444F3"/>
    <w:rsid w:val="00D4554B"/>
    <w:rsid w:val="00D530AF"/>
    <w:rsid w:val="00D54B07"/>
    <w:rsid w:val="00D55776"/>
    <w:rsid w:val="00D60772"/>
    <w:rsid w:val="00D60B47"/>
    <w:rsid w:val="00D616FD"/>
    <w:rsid w:val="00D6281A"/>
    <w:rsid w:val="00D719F3"/>
    <w:rsid w:val="00D721B4"/>
    <w:rsid w:val="00D74F18"/>
    <w:rsid w:val="00D81C3D"/>
    <w:rsid w:val="00D82CD2"/>
    <w:rsid w:val="00D83463"/>
    <w:rsid w:val="00D83650"/>
    <w:rsid w:val="00D87EE7"/>
    <w:rsid w:val="00D91482"/>
    <w:rsid w:val="00D9267E"/>
    <w:rsid w:val="00D92D78"/>
    <w:rsid w:val="00D932EE"/>
    <w:rsid w:val="00D94B63"/>
    <w:rsid w:val="00D94EA0"/>
    <w:rsid w:val="00D96622"/>
    <w:rsid w:val="00D9708A"/>
    <w:rsid w:val="00D97AB1"/>
    <w:rsid w:val="00DA1925"/>
    <w:rsid w:val="00DA35CA"/>
    <w:rsid w:val="00DA70FF"/>
    <w:rsid w:val="00DB0CCF"/>
    <w:rsid w:val="00DB3818"/>
    <w:rsid w:val="00DB4518"/>
    <w:rsid w:val="00DB6B93"/>
    <w:rsid w:val="00DB6C2C"/>
    <w:rsid w:val="00DC0A4B"/>
    <w:rsid w:val="00DC0E9B"/>
    <w:rsid w:val="00DC21CC"/>
    <w:rsid w:val="00DC73F9"/>
    <w:rsid w:val="00DC7CCD"/>
    <w:rsid w:val="00DD19B7"/>
    <w:rsid w:val="00DD22BC"/>
    <w:rsid w:val="00DE279C"/>
    <w:rsid w:val="00DE52B4"/>
    <w:rsid w:val="00DF14B1"/>
    <w:rsid w:val="00DF1A59"/>
    <w:rsid w:val="00DF35B5"/>
    <w:rsid w:val="00DF5F69"/>
    <w:rsid w:val="00DF761C"/>
    <w:rsid w:val="00E0152C"/>
    <w:rsid w:val="00E05300"/>
    <w:rsid w:val="00E06B2D"/>
    <w:rsid w:val="00E06E06"/>
    <w:rsid w:val="00E108C6"/>
    <w:rsid w:val="00E11FB2"/>
    <w:rsid w:val="00E12664"/>
    <w:rsid w:val="00E1274D"/>
    <w:rsid w:val="00E13203"/>
    <w:rsid w:val="00E135BE"/>
    <w:rsid w:val="00E13CA2"/>
    <w:rsid w:val="00E14D5C"/>
    <w:rsid w:val="00E15AF3"/>
    <w:rsid w:val="00E161D1"/>
    <w:rsid w:val="00E1689F"/>
    <w:rsid w:val="00E17254"/>
    <w:rsid w:val="00E212BE"/>
    <w:rsid w:val="00E21FA4"/>
    <w:rsid w:val="00E22D24"/>
    <w:rsid w:val="00E22F24"/>
    <w:rsid w:val="00E2382F"/>
    <w:rsid w:val="00E24E5D"/>
    <w:rsid w:val="00E3217C"/>
    <w:rsid w:val="00E36741"/>
    <w:rsid w:val="00E373AE"/>
    <w:rsid w:val="00E41597"/>
    <w:rsid w:val="00E4172D"/>
    <w:rsid w:val="00E4182E"/>
    <w:rsid w:val="00E50413"/>
    <w:rsid w:val="00E55935"/>
    <w:rsid w:val="00E57237"/>
    <w:rsid w:val="00E62506"/>
    <w:rsid w:val="00E63F89"/>
    <w:rsid w:val="00E64BFD"/>
    <w:rsid w:val="00E64C4D"/>
    <w:rsid w:val="00E64EBF"/>
    <w:rsid w:val="00E70383"/>
    <w:rsid w:val="00E709DB"/>
    <w:rsid w:val="00E70F83"/>
    <w:rsid w:val="00E75B4B"/>
    <w:rsid w:val="00E8016B"/>
    <w:rsid w:val="00E80617"/>
    <w:rsid w:val="00E8163D"/>
    <w:rsid w:val="00E85B61"/>
    <w:rsid w:val="00E87088"/>
    <w:rsid w:val="00E941F7"/>
    <w:rsid w:val="00E95E66"/>
    <w:rsid w:val="00E966C3"/>
    <w:rsid w:val="00E97D6F"/>
    <w:rsid w:val="00E97EB0"/>
    <w:rsid w:val="00EA42FC"/>
    <w:rsid w:val="00EA5D2D"/>
    <w:rsid w:val="00EB67DA"/>
    <w:rsid w:val="00EC29B6"/>
    <w:rsid w:val="00EC6399"/>
    <w:rsid w:val="00EC7B6C"/>
    <w:rsid w:val="00ED00C1"/>
    <w:rsid w:val="00ED059D"/>
    <w:rsid w:val="00ED11DD"/>
    <w:rsid w:val="00ED3579"/>
    <w:rsid w:val="00ED36C0"/>
    <w:rsid w:val="00ED6EE5"/>
    <w:rsid w:val="00ED7EF1"/>
    <w:rsid w:val="00EE610D"/>
    <w:rsid w:val="00EE6A58"/>
    <w:rsid w:val="00EF59D3"/>
    <w:rsid w:val="00EF7BA0"/>
    <w:rsid w:val="00F00288"/>
    <w:rsid w:val="00F03745"/>
    <w:rsid w:val="00F03899"/>
    <w:rsid w:val="00F10329"/>
    <w:rsid w:val="00F12718"/>
    <w:rsid w:val="00F12B22"/>
    <w:rsid w:val="00F13C9F"/>
    <w:rsid w:val="00F14EF6"/>
    <w:rsid w:val="00F16E43"/>
    <w:rsid w:val="00F16FED"/>
    <w:rsid w:val="00F17570"/>
    <w:rsid w:val="00F20D57"/>
    <w:rsid w:val="00F22550"/>
    <w:rsid w:val="00F23334"/>
    <w:rsid w:val="00F2738E"/>
    <w:rsid w:val="00F3016E"/>
    <w:rsid w:val="00F379AA"/>
    <w:rsid w:val="00F44761"/>
    <w:rsid w:val="00F46AB3"/>
    <w:rsid w:val="00F474B2"/>
    <w:rsid w:val="00F50369"/>
    <w:rsid w:val="00F50692"/>
    <w:rsid w:val="00F5173D"/>
    <w:rsid w:val="00F52276"/>
    <w:rsid w:val="00F565B8"/>
    <w:rsid w:val="00F575A7"/>
    <w:rsid w:val="00F60831"/>
    <w:rsid w:val="00F65AD3"/>
    <w:rsid w:val="00F70531"/>
    <w:rsid w:val="00F71128"/>
    <w:rsid w:val="00F71E53"/>
    <w:rsid w:val="00F72EFC"/>
    <w:rsid w:val="00F768AB"/>
    <w:rsid w:val="00F76A08"/>
    <w:rsid w:val="00F81D9A"/>
    <w:rsid w:val="00F85DCD"/>
    <w:rsid w:val="00F875D2"/>
    <w:rsid w:val="00F90490"/>
    <w:rsid w:val="00F93577"/>
    <w:rsid w:val="00F94AE4"/>
    <w:rsid w:val="00F97389"/>
    <w:rsid w:val="00F976AC"/>
    <w:rsid w:val="00F97B09"/>
    <w:rsid w:val="00FA12AD"/>
    <w:rsid w:val="00FA1C85"/>
    <w:rsid w:val="00FA3864"/>
    <w:rsid w:val="00FA43C3"/>
    <w:rsid w:val="00FA48E5"/>
    <w:rsid w:val="00FA6964"/>
    <w:rsid w:val="00FA6D1C"/>
    <w:rsid w:val="00FB19A9"/>
    <w:rsid w:val="00FC097D"/>
    <w:rsid w:val="00FC0A54"/>
    <w:rsid w:val="00FC2F2E"/>
    <w:rsid w:val="00FC3A41"/>
    <w:rsid w:val="00FD314F"/>
    <w:rsid w:val="00FD3F68"/>
    <w:rsid w:val="00FD6099"/>
    <w:rsid w:val="00FD668C"/>
    <w:rsid w:val="00FD6BBF"/>
    <w:rsid w:val="00FD707C"/>
    <w:rsid w:val="00FE51BD"/>
    <w:rsid w:val="00FE5DC3"/>
    <w:rsid w:val="00FF1779"/>
    <w:rsid w:val="00FF1981"/>
    <w:rsid w:val="00FF2340"/>
    <w:rsid w:val="00FF60C7"/>
    <w:rsid w:val="00FF7392"/>
    <w:rsid w:val="011B684E"/>
    <w:rsid w:val="019C53D4"/>
    <w:rsid w:val="023B43DC"/>
    <w:rsid w:val="025B38C1"/>
    <w:rsid w:val="065739C8"/>
    <w:rsid w:val="074D26E8"/>
    <w:rsid w:val="083B1779"/>
    <w:rsid w:val="096E6856"/>
    <w:rsid w:val="110F26B1"/>
    <w:rsid w:val="11F411CD"/>
    <w:rsid w:val="11FF1014"/>
    <w:rsid w:val="129F2FE2"/>
    <w:rsid w:val="13404ED0"/>
    <w:rsid w:val="14283DBB"/>
    <w:rsid w:val="15E003AF"/>
    <w:rsid w:val="15E3C645"/>
    <w:rsid w:val="17281484"/>
    <w:rsid w:val="17492B6E"/>
    <w:rsid w:val="17B36DCD"/>
    <w:rsid w:val="17BB3F01"/>
    <w:rsid w:val="1A2C561C"/>
    <w:rsid w:val="1A6E2082"/>
    <w:rsid w:val="1A7D41CF"/>
    <w:rsid w:val="1D29343A"/>
    <w:rsid w:val="1FD3237E"/>
    <w:rsid w:val="1FDF4751"/>
    <w:rsid w:val="2001052F"/>
    <w:rsid w:val="21CE0EBF"/>
    <w:rsid w:val="22A4177B"/>
    <w:rsid w:val="24485B15"/>
    <w:rsid w:val="268D0124"/>
    <w:rsid w:val="271004BF"/>
    <w:rsid w:val="2B3F6C70"/>
    <w:rsid w:val="2E221654"/>
    <w:rsid w:val="2F7797D8"/>
    <w:rsid w:val="2FFB213D"/>
    <w:rsid w:val="30E0102B"/>
    <w:rsid w:val="31EA460F"/>
    <w:rsid w:val="35C739BF"/>
    <w:rsid w:val="376F5EBB"/>
    <w:rsid w:val="37DB056F"/>
    <w:rsid w:val="37ED4DA6"/>
    <w:rsid w:val="3B7BA720"/>
    <w:rsid w:val="3BB57579"/>
    <w:rsid w:val="3BF75778"/>
    <w:rsid w:val="3C2E51EB"/>
    <w:rsid w:val="3C36DCF9"/>
    <w:rsid w:val="3E6C4FA3"/>
    <w:rsid w:val="41830E75"/>
    <w:rsid w:val="42A7756F"/>
    <w:rsid w:val="437D71C3"/>
    <w:rsid w:val="456E4695"/>
    <w:rsid w:val="47386CB6"/>
    <w:rsid w:val="47F85140"/>
    <w:rsid w:val="490D4BB6"/>
    <w:rsid w:val="4BB12688"/>
    <w:rsid w:val="4D1B084B"/>
    <w:rsid w:val="51650C56"/>
    <w:rsid w:val="58FC622E"/>
    <w:rsid w:val="5A79354A"/>
    <w:rsid w:val="5BAE3879"/>
    <w:rsid w:val="5D73402A"/>
    <w:rsid w:val="5DEA77D6"/>
    <w:rsid w:val="5F63053D"/>
    <w:rsid w:val="5FF284FC"/>
    <w:rsid w:val="64B86B45"/>
    <w:rsid w:val="65E21C2E"/>
    <w:rsid w:val="67EBA557"/>
    <w:rsid w:val="69BC7F00"/>
    <w:rsid w:val="69DDAFDE"/>
    <w:rsid w:val="6B7F2D5E"/>
    <w:rsid w:val="6BE756F1"/>
    <w:rsid w:val="6C42524C"/>
    <w:rsid w:val="6CBD3C97"/>
    <w:rsid w:val="6D762B3C"/>
    <w:rsid w:val="6F2C465B"/>
    <w:rsid w:val="702E6114"/>
    <w:rsid w:val="71885E71"/>
    <w:rsid w:val="74C8289D"/>
    <w:rsid w:val="76B907AC"/>
    <w:rsid w:val="77DF481F"/>
    <w:rsid w:val="78FF98B9"/>
    <w:rsid w:val="7A6F7B65"/>
    <w:rsid w:val="7BDAD481"/>
    <w:rsid w:val="7D164783"/>
    <w:rsid w:val="7E6FB78E"/>
    <w:rsid w:val="7E960D71"/>
    <w:rsid w:val="7EBAB97B"/>
    <w:rsid w:val="7EBF580C"/>
    <w:rsid w:val="7ED64166"/>
    <w:rsid w:val="7F644F57"/>
    <w:rsid w:val="7FBB8B1F"/>
    <w:rsid w:val="7FEA39C3"/>
    <w:rsid w:val="ABFDA8D9"/>
    <w:rsid w:val="BBBE15A7"/>
    <w:rsid w:val="BDD7E460"/>
    <w:rsid w:val="D7F4098B"/>
    <w:rsid w:val="DC97FBA4"/>
    <w:rsid w:val="DD6B06CD"/>
    <w:rsid w:val="DFAFA6EB"/>
    <w:rsid w:val="DFDED293"/>
    <w:rsid w:val="DFF75334"/>
    <w:rsid w:val="EEFEECF2"/>
    <w:rsid w:val="EF5F0065"/>
    <w:rsid w:val="EF7B4551"/>
    <w:rsid w:val="F3F70B0C"/>
    <w:rsid w:val="F6DBC885"/>
    <w:rsid w:val="F7EFF782"/>
    <w:rsid w:val="F7FD2926"/>
    <w:rsid w:val="F7FDCF6C"/>
    <w:rsid w:val="FB833679"/>
    <w:rsid w:val="FCDEF48E"/>
    <w:rsid w:val="FDFB5389"/>
    <w:rsid w:val="FF5F2341"/>
    <w:rsid w:val="FFAF55FD"/>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qFormat="1" w:uiPriority="99"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35"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11"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22" w:semiHidden="0" w:name="Strong"/>
    <w:lsdException w:qFormat="1" w:unhideWhenUsed="0" w:uiPriority="20" w:semiHidden="0" w:name="Emphasis"/>
    <w:lsdException w:unhideWhenUsed="0" w:uiPriority="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qFormat="1" w:uiPriority="99"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kern w:val="2"/>
      <w:sz w:val="21"/>
      <w:szCs w:val="24"/>
      <w:lang w:val="en-US" w:eastAsia="zh-CN" w:bidi="ar-SA"/>
    </w:rPr>
  </w:style>
  <w:style w:type="paragraph" w:styleId="3">
    <w:name w:val="heading 1"/>
    <w:basedOn w:val="1"/>
    <w:next w:val="1"/>
    <w:link w:val="43"/>
    <w:qFormat/>
    <w:uiPriority w:val="9"/>
    <w:pPr>
      <w:keepNext/>
      <w:keepLines/>
      <w:snapToGrid w:val="0"/>
      <w:spacing w:before="600" w:after="480" w:line="600" w:lineRule="exact"/>
      <w:ind w:firstLine="200" w:firstLineChars="200"/>
      <w:jc w:val="center"/>
      <w:outlineLvl w:val="0"/>
    </w:pPr>
    <w:rPr>
      <w:rFonts w:ascii="Calibri" w:hAnsi="Calibri" w:eastAsia="宋体" w:cs="Times New Roman"/>
      <w:b/>
      <w:bCs/>
      <w:kern w:val="44"/>
      <w:sz w:val="44"/>
      <w:szCs w:val="44"/>
      <w:lang w:bidi="ar-SA"/>
    </w:rPr>
  </w:style>
  <w:style w:type="paragraph" w:styleId="2">
    <w:name w:val="heading 2"/>
    <w:basedOn w:val="1"/>
    <w:next w:val="1"/>
    <w:link w:val="42"/>
    <w:unhideWhenUsed/>
    <w:qFormat/>
    <w:uiPriority w:val="9"/>
    <w:pPr>
      <w:keepNext/>
      <w:keepLines/>
      <w:snapToGrid w:val="0"/>
      <w:spacing w:before="360" w:after="120" w:line="600" w:lineRule="exact"/>
      <w:ind w:firstLine="200" w:firstLineChars="200"/>
      <w:jc w:val="center"/>
      <w:outlineLvl w:val="1"/>
    </w:pPr>
    <w:rPr>
      <w:rFonts w:ascii="Cambria" w:hAnsi="Cambria" w:eastAsia="楷体" w:cs="Times New Roman"/>
      <w:b/>
      <w:bCs/>
      <w:sz w:val="36"/>
      <w:szCs w:val="32"/>
      <w:lang w:bidi="ar-SA"/>
    </w:rPr>
  </w:style>
  <w:style w:type="paragraph" w:styleId="4">
    <w:name w:val="heading 3"/>
    <w:basedOn w:val="1"/>
    <w:next w:val="1"/>
    <w:link w:val="44"/>
    <w:unhideWhenUsed/>
    <w:qFormat/>
    <w:uiPriority w:val="9"/>
    <w:pPr>
      <w:keepNext/>
      <w:keepLines/>
      <w:snapToGrid w:val="0"/>
      <w:spacing w:before="240" w:line="600" w:lineRule="exact"/>
      <w:ind w:firstLine="0" w:firstLineChars="0"/>
      <w:jc w:val="left"/>
      <w:outlineLvl w:val="2"/>
    </w:pPr>
    <w:rPr>
      <w:rFonts w:ascii="Calibri" w:hAnsi="Calibri" w:eastAsia="仿宋" w:cs="Times New Roman"/>
      <w:b/>
      <w:bCs/>
      <w:sz w:val="32"/>
      <w:szCs w:val="32"/>
      <w:lang w:bidi="ar-SA"/>
    </w:rPr>
  </w:style>
  <w:style w:type="paragraph" w:styleId="5">
    <w:name w:val="heading 4"/>
    <w:basedOn w:val="1"/>
    <w:next w:val="1"/>
    <w:link w:val="45"/>
    <w:unhideWhenUsed/>
    <w:qFormat/>
    <w:uiPriority w:val="9"/>
    <w:pPr>
      <w:keepNext/>
      <w:keepLines/>
      <w:snapToGrid w:val="0"/>
      <w:spacing w:line="600" w:lineRule="exact"/>
      <w:ind w:firstLine="200" w:firstLineChars="200"/>
      <w:jc w:val="left"/>
      <w:outlineLvl w:val="3"/>
    </w:pPr>
    <w:rPr>
      <w:rFonts w:ascii="Cambria" w:hAnsi="Cambria" w:eastAsia="仿宋" w:cs="Times New Roman"/>
      <w:b/>
      <w:bCs/>
      <w:sz w:val="32"/>
      <w:szCs w:val="28"/>
      <w:lang w:bidi="ar-SA"/>
    </w:rPr>
  </w:style>
  <w:style w:type="paragraph" w:styleId="6">
    <w:name w:val="heading 5"/>
    <w:basedOn w:val="1"/>
    <w:next w:val="1"/>
    <w:link w:val="46"/>
    <w:unhideWhenUsed/>
    <w:qFormat/>
    <w:uiPriority w:val="9"/>
    <w:pPr>
      <w:keepNext/>
      <w:keepLines/>
      <w:snapToGrid w:val="0"/>
      <w:spacing w:before="240" w:after="120" w:line="377" w:lineRule="auto"/>
      <w:ind w:firstLine="200" w:firstLineChars="200"/>
      <w:jc w:val="center"/>
      <w:outlineLvl w:val="4"/>
    </w:pPr>
    <w:rPr>
      <w:rFonts w:ascii="Calibri" w:hAnsi="Calibri" w:eastAsia="仿宋" w:cs="Times New Roman"/>
      <w:b/>
      <w:bCs/>
      <w:sz w:val="28"/>
      <w:szCs w:val="28"/>
      <w:lang w:bidi="ar-SA"/>
    </w:rPr>
  </w:style>
  <w:style w:type="character" w:default="1" w:styleId="30">
    <w:name w:val="Default Paragraph Font"/>
    <w:semiHidden/>
    <w:uiPriority w:val="0"/>
  </w:style>
  <w:style w:type="table" w:default="1" w:styleId="28">
    <w:name w:val="Normal Table"/>
    <w:semiHidden/>
    <w:uiPriority w:val="0"/>
    <w:tblPr>
      <w:tblStyle w:val="28"/>
      <w:tblLayout w:type="fixed"/>
      <w:tblCellMar>
        <w:top w:w="0" w:type="dxa"/>
        <w:left w:w="108" w:type="dxa"/>
        <w:bottom w:w="0" w:type="dxa"/>
        <w:right w:w="108" w:type="dxa"/>
      </w:tblCellMar>
    </w:tblPr>
  </w:style>
  <w:style w:type="paragraph" w:styleId="7">
    <w:name w:val="toc 7"/>
    <w:basedOn w:val="1"/>
    <w:next w:val="1"/>
    <w:unhideWhenUsed/>
    <w:qFormat/>
    <w:uiPriority w:val="39"/>
    <w:pPr>
      <w:snapToGrid w:val="0"/>
      <w:spacing w:line="600" w:lineRule="exact"/>
      <w:ind w:left="1920" w:firstLine="200" w:firstLineChars="200"/>
      <w:jc w:val="left"/>
    </w:pPr>
    <w:rPr>
      <w:rFonts w:ascii="Calibri" w:hAnsi="Calibri" w:eastAsia="Calibri" w:cs="Times New Roman"/>
      <w:sz w:val="18"/>
      <w:szCs w:val="18"/>
      <w:lang w:bidi="ar-SA"/>
    </w:rPr>
  </w:style>
  <w:style w:type="paragraph" w:styleId="8">
    <w:name w:val="caption"/>
    <w:basedOn w:val="1"/>
    <w:next w:val="1"/>
    <w:unhideWhenUsed/>
    <w:qFormat/>
    <w:uiPriority w:val="35"/>
    <w:pPr>
      <w:snapToGrid w:val="0"/>
      <w:spacing w:line="600" w:lineRule="exact"/>
      <w:ind w:firstLine="200" w:firstLineChars="200"/>
    </w:pPr>
    <w:rPr>
      <w:rFonts w:ascii="Cambria" w:hAnsi="Cambria" w:eastAsia="黑体" w:cs="Times New Roman"/>
      <w:sz w:val="20"/>
      <w:szCs w:val="20"/>
      <w:lang w:bidi="ar-SA"/>
    </w:rPr>
  </w:style>
  <w:style w:type="paragraph" w:styleId="9">
    <w:name w:val="Document Map"/>
    <w:basedOn w:val="1"/>
    <w:link w:val="47"/>
    <w:semiHidden/>
    <w:uiPriority w:val="0"/>
    <w:pPr>
      <w:shd w:val="clear" w:color="auto" w:fill="000080"/>
    </w:pPr>
  </w:style>
  <w:style w:type="paragraph" w:styleId="10">
    <w:name w:val="annotation text"/>
    <w:basedOn w:val="1"/>
    <w:link w:val="48"/>
    <w:unhideWhenUsed/>
    <w:qFormat/>
    <w:uiPriority w:val="99"/>
    <w:pPr>
      <w:snapToGrid w:val="0"/>
      <w:spacing w:line="600" w:lineRule="exact"/>
      <w:ind w:firstLine="200" w:firstLineChars="200"/>
      <w:jc w:val="left"/>
    </w:pPr>
    <w:rPr>
      <w:rFonts w:ascii="Calibri" w:hAnsi="Calibri" w:eastAsia="仿宋" w:cs="Times New Roman"/>
      <w:sz w:val="32"/>
      <w:szCs w:val="22"/>
      <w:lang w:bidi="ar-SA"/>
    </w:rPr>
  </w:style>
  <w:style w:type="paragraph" w:styleId="11">
    <w:name w:val="Body Text"/>
    <w:basedOn w:val="1"/>
    <w:next w:val="1"/>
    <w:link w:val="49"/>
    <w:qFormat/>
    <w:uiPriority w:val="0"/>
    <w:pPr>
      <w:snapToGrid/>
      <w:spacing w:after="120" w:line="560" w:lineRule="exact"/>
      <w:ind w:firstLine="0" w:firstLineChars="0"/>
    </w:pPr>
    <w:rPr>
      <w:rFonts w:ascii="Calibri" w:hAnsi="Calibri" w:eastAsia="仿宋_GB2312" w:cs="Times New Roman"/>
      <w:sz w:val="32"/>
      <w:szCs w:val="24"/>
      <w:lang w:bidi="ar-SA"/>
    </w:rPr>
  </w:style>
  <w:style w:type="paragraph" w:styleId="12">
    <w:name w:val="toc 5"/>
    <w:basedOn w:val="1"/>
    <w:next w:val="1"/>
    <w:unhideWhenUsed/>
    <w:qFormat/>
    <w:uiPriority w:val="39"/>
    <w:pPr>
      <w:snapToGrid w:val="0"/>
      <w:spacing w:line="600" w:lineRule="exact"/>
      <w:ind w:left="1280" w:firstLine="200" w:firstLineChars="200"/>
      <w:jc w:val="left"/>
    </w:pPr>
    <w:rPr>
      <w:rFonts w:ascii="Calibri" w:hAnsi="Calibri" w:eastAsia="Calibri" w:cs="Times New Roman"/>
      <w:sz w:val="18"/>
      <w:szCs w:val="18"/>
      <w:lang w:bidi="ar-SA"/>
    </w:rPr>
  </w:style>
  <w:style w:type="paragraph" w:styleId="13">
    <w:name w:val="toc 3"/>
    <w:basedOn w:val="1"/>
    <w:next w:val="1"/>
    <w:unhideWhenUsed/>
    <w:qFormat/>
    <w:uiPriority w:val="39"/>
    <w:pPr>
      <w:snapToGrid w:val="0"/>
      <w:spacing w:line="600" w:lineRule="exact"/>
      <w:ind w:left="640" w:firstLine="200" w:firstLineChars="200"/>
      <w:jc w:val="left"/>
    </w:pPr>
    <w:rPr>
      <w:rFonts w:ascii="Calibri" w:hAnsi="Calibri" w:eastAsia="Calibri" w:cs="Times New Roman"/>
      <w:i/>
      <w:iCs/>
      <w:sz w:val="20"/>
      <w:szCs w:val="20"/>
      <w:lang w:bidi="ar-SA"/>
    </w:rPr>
  </w:style>
  <w:style w:type="paragraph" w:styleId="14">
    <w:name w:val="toc 8"/>
    <w:basedOn w:val="1"/>
    <w:next w:val="1"/>
    <w:unhideWhenUsed/>
    <w:qFormat/>
    <w:uiPriority w:val="39"/>
    <w:pPr>
      <w:snapToGrid w:val="0"/>
      <w:spacing w:line="600" w:lineRule="exact"/>
      <w:ind w:left="2240" w:firstLine="200" w:firstLineChars="200"/>
      <w:jc w:val="left"/>
    </w:pPr>
    <w:rPr>
      <w:rFonts w:ascii="Calibri" w:hAnsi="Calibri" w:eastAsia="Calibri" w:cs="Times New Roman"/>
      <w:sz w:val="18"/>
      <w:szCs w:val="18"/>
      <w:lang w:bidi="ar-SA"/>
    </w:rPr>
  </w:style>
  <w:style w:type="paragraph" w:styleId="15">
    <w:name w:val="Date"/>
    <w:basedOn w:val="1"/>
    <w:next w:val="1"/>
    <w:link w:val="50"/>
    <w:uiPriority w:val="0"/>
    <w:pPr>
      <w:ind w:left="100" w:leftChars="2500"/>
    </w:pPr>
    <w:rPr>
      <w:rFonts w:ascii="仿宋_GB2312" w:eastAsia="仿宋_GB2312"/>
      <w:sz w:val="32"/>
    </w:rPr>
  </w:style>
  <w:style w:type="paragraph" w:styleId="16">
    <w:name w:val="Body Text Indent 2"/>
    <w:basedOn w:val="1"/>
    <w:link w:val="51"/>
    <w:qFormat/>
    <w:uiPriority w:val="0"/>
    <w:pPr>
      <w:snapToGrid w:val="0"/>
      <w:spacing w:after="120" w:line="480" w:lineRule="auto"/>
      <w:ind w:left="420" w:leftChars="200" w:firstLine="200" w:firstLineChars="200"/>
    </w:pPr>
    <w:rPr>
      <w:rFonts w:ascii="Times New Roman" w:hAnsi="Times New Roman" w:eastAsia="仿宋" w:cs="Times New Roman"/>
      <w:sz w:val="32"/>
      <w:szCs w:val="24"/>
      <w:lang w:bidi="ar-SA"/>
    </w:rPr>
  </w:style>
  <w:style w:type="paragraph" w:styleId="17">
    <w:name w:val="Balloon Text"/>
    <w:basedOn w:val="1"/>
    <w:link w:val="52"/>
    <w:semiHidden/>
    <w:uiPriority w:val="0"/>
    <w:rPr>
      <w:sz w:val="18"/>
      <w:szCs w:val="18"/>
    </w:rPr>
  </w:style>
  <w:style w:type="paragraph" w:styleId="18">
    <w:name w:val="footer"/>
    <w:basedOn w:val="1"/>
    <w:link w:val="53"/>
    <w:uiPriority w:val="0"/>
    <w:pPr>
      <w:tabs>
        <w:tab w:val="center" w:pos="4153"/>
        <w:tab w:val="right" w:pos="8306"/>
      </w:tabs>
      <w:snapToGrid w:val="0"/>
      <w:jc w:val="left"/>
    </w:pPr>
    <w:rPr>
      <w:sz w:val="18"/>
      <w:szCs w:val="18"/>
    </w:rPr>
  </w:style>
  <w:style w:type="paragraph" w:styleId="19">
    <w:name w:val="header"/>
    <w:basedOn w:val="1"/>
    <w:link w:val="54"/>
    <w:uiPriority w:val="0"/>
    <w:pPr>
      <w:pBdr>
        <w:bottom w:val="single" w:color="auto" w:sz="6" w:space="1"/>
      </w:pBdr>
      <w:tabs>
        <w:tab w:val="center" w:pos="4153"/>
        <w:tab w:val="right" w:pos="8306"/>
      </w:tabs>
      <w:snapToGrid w:val="0"/>
      <w:jc w:val="center"/>
    </w:pPr>
    <w:rPr>
      <w:sz w:val="18"/>
      <w:szCs w:val="18"/>
    </w:rPr>
  </w:style>
  <w:style w:type="paragraph" w:styleId="20">
    <w:name w:val="toc 1"/>
    <w:basedOn w:val="1"/>
    <w:next w:val="1"/>
    <w:unhideWhenUsed/>
    <w:qFormat/>
    <w:uiPriority w:val="39"/>
    <w:pPr>
      <w:tabs>
        <w:tab w:val="right" w:leader="dot" w:pos="8296"/>
      </w:tabs>
      <w:snapToGrid w:val="0"/>
      <w:spacing w:before="120" w:after="120" w:line="360" w:lineRule="auto"/>
      <w:ind w:firstLine="0" w:firstLineChars="0"/>
      <w:jc w:val="left"/>
    </w:pPr>
    <w:rPr>
      <w:rFonts w:ascii="Times New Roman" w:hAnsi="Times New Roman" w:eastAsia="仿宋" w:cs="Times New Roman"/>
      <w:b/>
      <w:bCs/>
      <w:caps/>
      <w:sz w:val="32"/>
      <w:szCs w:val="32"/>
      <w:lang w:bidi="ar-SA"/>
    </w:rPr>
  </w:style>
  <w:style w:type="paragraph" w:styleId="21">
    <w:name w:val="toc 4"/>
    <w:basedOn w:val="1"/>
    <w:next w:val="1"/>
    <w:unhideWhenUsed/>
    <w:qFormat/>
    <w:uiPriority w:val="39"/>
    <w:pPr>
      <w:snapToGrid w:val="0"/>
      <w:spacing w:line="600" w:lineRule="exact"/>
      <w:ind w:left="960" w:firstLine="200" w:firstLineChars="200"/>
      <w:jc w:val="left"/>
    </w:pPr>
    <w:rPr>
      <w:rFonts w:ascii="Calibri" w:hAnsi="Calibri" w:eastAsia="Calibri" w:cs="Times New Roman"/>
      <w:sz w:val="18"/>
      <w:szCs w:val="18"/>
      <w:lang w:bidi="ar-SA"/>
    </w:rPr>
  </w:style>
  <w:style w:type="paragraph" w:styleId="22">
    <w:name w:val="Subtitle"/>
    <w:basedOn w:val="1"/>
    <w:next w:val="1"/>
    <w:link w:val="55"/>
    <w:qFormat/>
    <w:uiPriority w:val="11"/>
    <w:pPr>
      <w:snapToGrid w:val="0"/>
      <w:spacing w:before="240" w:after="60" w:line="312" w:lineRule="auto"/>
      <w:ind w:firstLine="200" w:firstLineChars="200"/>
      <w:jc w:val="center"/>
      <w:outlineLvl w:val="1"/>
    </w:pPr>
    <w:rPr>
      <w:rFonts w:ascii="Calibri Light" w:hAnsi="Calibri Light" w:eastAsia="仿宋" w:cs="Times New Roman"/>
      <w:b/>
      <w:bCs/>
      <w:kern w:val="28"/>
      <w:sz w:val="32"/>
      <w:szCs w:val="32"/>
      <w:lang w:bidi="ar-SA"/>
    </w:rPr>
  </w:style>
  <w:style w:type="paragraph" w:styleId="23">
    <w:name w:val="toc 6"/>
    <w:basedOn w:val="1"/>
    <w:next w:val="1"/>
    <w:unhideWhenUsed/>
    <w:qFormat/>
    <w:uiPriority w:val="39"/>
    <w:pPr>
      <w:snapToGrid w:val="0"/>
      <w:spacing w:line="600" w:lineRule="exact"/>
      <w:ind w:left="1600" w:firstLine="200" w:firstLineChars="200"/>
      <w:jc w:val="left"/>
    </w:pPr>
    <w:rPr>
      <w:rFonts w:ascii="Calibri" w:hAnsi="Calibri" w:eastAsia="Calibri" w:cs="Times New Roman"/>
      <w:sz w:val="18"/>
      <w:szCs w:val="18"/>
      <w:lang w:bidi="ar-SA"/>
    </w:rPr>
  </w:style>
  <w:style w:type="paragraph" w:styleId="24">
    <w:name w:val="toc 2"/>
    <w:basedOn w:val="1"/>
    <w:next w:val="1"/>
    <w:unhideWhenUsed/>
    <w:qFormat/>
    <w:uiPriority w:val="39"/>
    <w:pPr>
      <w:tabs>
        <w:tab w:val="right" w:leader="dot" w:pos="8296"/>
      </w:tabs>
      <w:snapToGrid w:val="0"/>
      <w:spacing w:line="600" w:lineRule="exact"/>
      <w:ind w:left="1" w:firstLine="424" w:firstLineChars="212"/>
      <w:jc w:val="left"/>
    </w:pPr>
    <w:rPr>
      <w:rFonts w:ascii="Calibri" w:hAnsi="Calibri" w:eastAsia="Calibri" w:cs="Times New Roman"/>
      <w:smallCaps/>
      <w:sz w:val="20"/>
      <w:szCs w:val="20"/>
      <w:lang w:bidi="ar-SA"/>
    </w:rPr>
  </w:style>
  <w:style w:type="paragraph" w:styleId="25">
    <w:name w:val="toc 9"/>
    <w:basedOn w:val="1"/>
    <w:next w:val="1"/>
    <w:unhideWhenUsed/>
    <w:qFormat/>
    <w:uiPriority w:val="39"/>
    <w:pPr>
      <w:snapToGrid w:val="0"/>
      <w:spacing w:line="600" w:lineRule="exact"/>
      <w:ind w:left="2560" w:firstLine="200" w:firstLineChars="200"/>
      <w:jc w:val="left"/>
    </w:pPr>
    <w:rPr>
      <w:rFonts w:ascii="Calibri" w:hAnsi="Calibri" w:eastAsia="Calibri" w:cs="Times New Roman"/>
      <w:sz w:val="18"/>
      <w:szCs w:val="18"/>
      <w:lang w:bidi="ar-SA"/>
    </w:rPr>
  </w:style>
  <w:style w:type="paragraph" w:styleId="26">
    <w:name w:val="Normal (Web)"/>
    <w:basedOn w:val="1"/>
    <w:unhideWhenUsed/>
    <w:qFormat/>
    <w:uiPriority w:val="99"/>
    <w:pPr>
      <w:widowControl/>
      <w:snapToGrid w:val="0"/>
      <w:spacing w:before="100" w:beforeAutospacing="1" w:after="100" w:afterAutospacing="1" w:line="600" w:lineRule="exact"/>
      <w:ind w:firstLine="200" w:firstLineChars="200"/>
      <w:jc w:val="left"/>
    </w:pPr>
    <w:rPr>
      <w:rFonts w:ascii="宋体" w:hAnsi="宋体" w:eastAsia="仿宋" w:cs="宋体"/>
      <w:kern w:val="0"/>
      <w:sz w:val="24"/>
      <w:szCs w:val="24"/>
      <w:lang w:bidi="ar-SA"/>
    </w:rPr>
  </w:style>
  <w:style w:type="paragraph" w:styleId="27">
    <w:name w:val="annotation subject"/>
    <w:basedOn w:val="10"/>
    <w:next w:val="10"/>
    <w:link w:val="56"/>
    <w:unhideWhenUsed/>
    <w:qFormat/>
    <w:uiPriority w:val="99"/>
    <w:rPr>
      <w:b/>
      <w:bCs/>
    </w:rPr>
  </w:style>
  <w:style w:type="table" w:styleId="29">
    <w:name w:val="Table Grid"/>
    <w:basedOn w:val="28"/>
    <w:uiPriority w:val="0"/>
    <w:pPr>
      <w:widowControl w:val="0"/>
      <w:jc w:val="both"/>
    </w:pPr>
    <w:tblPr>
      <w:tblStyle w:val="28"/>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31">
    <w:name w:val="Strong"/>
    <w:basedOn w:val="30"/>
    <w:qFormat/>
    <w:uiPriority w:val="22"/>
    <w:rPr>
      <w:rFonts w:ascii="Times New Roman" w:hAnsi="Times New Roman" w:eastAsia="宋体" w:cs="Times New Roman"/>
      <w:b/>
      <w:lang w:val="en-US" w:eastAsia="zh-CN" w:bidi="ar-SA"/>
    </w:rPr>
  </w:style>
  <w:style w:type="character" w:styleId="32">
    <w:name w:val="page number"/>
    <w:basedOn w:val="30"/>
    <w:uiPriority w:val="0"/>
  </w:style>
  <w:style w:type="character" w:styleId="33">
    <w:name w:val="Emphasis"/>
    <w:basedOn w:val="30"/>
    <w:qFormat/>
    <w:uiPriority w:val="20"/>
    <w:rPr>
      <w:rFonts w:ascii="Times New Roman" w:hAnsi="Times New Roman" w:eastAsia="宋体" w:cs="Times New Roman"/>
      <w:i/>
      <w:lang w:val="en-US" w:eastAsia="zh-CN" w:bidi="ar-SA"/>
    </w:rPr>
  </w:style>
  <w:style w:type="character" w:styleId="34">
    <w:name w:val="Hyperlink"/>
    <w:basedOn w:val="30"/>
    <w:unhideWhenUsed/>
    <w:qFormat/>
    <w:uiPriority w:val="99"/>
    <w:rPr>
      <w:rFonts w:ascii="Times New Roman" w:hAnsi="Times New Roman" w:eastAsia="宋体" w:cs="Times New Roman"/>
      <w:color w:val="0000FF"/>
      <w:u w:val="single"/>
      <w:lang w:val="en-US" w:eastAsia="zh-CN" w:bidi="ar-SA"/>
    </w:rPr>
  </w:style>
  <w:style w:type="character" w:styleId="35">
    <w:name w:val="annotation reference"/>
    <w:basedOn w:val="30"/>
    <w:unhideWhenUsed/>
    <w:qFormat/>
    <w:uiPriority w:val="99"/>
    <w:rPr>
      <w:rFonts w:ascii="Times New Roman" w:hAnsi="Times New Roman" w:eastAsia="宋体" w:cs="Times New Roman"/>
      <w:sz w:val="21"/>
      <w:szCs w:val="21"/>
      <w:lang w:val="en-US" w:eastAsia="zh-CN" w:bidi="ar-SA"/>
    </w:rPr>
  </w:style>
  <w:style w:type="paragraph" w:customStyle="1" w:styleId="36">
    <w:name w:val="列出段落2"/>
    <w:basedOn w:val="1"/>
    <w:qFormat/>
    <w:uiPriority w:val="99"/>
    <w:pPr>
      <w:snapToGrid w:val="0"/>
      <w:spacing w:line="600" w:lineRule="exact"/>
      <w:ind w:firstLine="420" w:firstLineChars="200"/>
    </w:pPr>
    <w:rPr>
      <w:rFonts w:ascii="Calibri" w:hAnsi="Calibri" w:eastAsia="仿宋" w:cs="Times New Roman"/>
      <w:sz w:val="32"/>
      <w:szCs w:val="28"/>
      <w:lang w:bidi="ar-SA"/>
    </w:rPr>
  </w:style>
  <w:style w:type="paragraph" w:styleId="37">
    <w:name w:val="List Paragraph"/>
    <w:basedOn w:val="1"/>
    <w:qFormat/>
    <w:uiPriority w:val="34"/>
    <w:pPr>
      <w:snapToGrid w:val="0"/>
      <w:spacing w:line="600" w:lineRule="exact"/>
      <w:ind w:firstLine="420" w:firstLineChars="200"/>
    </w:pPr>
    <w:rPr>
      <w:rFonts w:ascii="Calibri" w:hAnsi="Calibri" w:eastAsia="仿宋" w:cs="Times New Roman"/>
      <w:sz w:val="32"/>
      <w:szCs w:val="22"/>
      <w:lang w:bidi="ar-SA"/>
    </w:rPr>
  </w:style>
  <w:style w:type="paragraph" w:customStyle="1" w:styleId="38">
    <w:name w:val="修订1"/>
    <w:semiHidden/>
    <w:qFormat/>
    <w:uiPriority w:val="99"/>
    <w:rPr>
      <w:rFonts w:ascii="Calibri" w:hAnsi="Calibri" w:eastAsia="宋体" w:cs="Times New Roman"/>
      <w:kern w:val="2"/>
      <w:sz w:val="21"/>
      <w:szCs w:val="22"/>
      <w:lang w:val="en-US" w:eastAsia="zh-CN" w:bidi="ar-SA"/>
    </w:rPr>
  </w:style>
  <w:style w:type="paragraph" w:customStyle="1" w:styleId="39">
    <w:name w:val="p0"/>
    <w:basedOn w:val="1"/>
    <w:qFormat/>
    <w:uiPriority w:val="0"/>
    <w:pPr>
      <w:widowControl/>
      <w:snapToGrid/>
      <w:spacing w:line="240" w:lineRule="auto"/>
      <w:ind w:firstLine="0" w:firstLineChars="0"/>
    </w:pPr>
    <w:rPr>
      <w:rFonts w:ascii="Calibri" w:hAnsi="Calibri" w:eastAsia="宋体" w:cs="宋体"/>
      <w:kern w:val="0"/>
      <w:sz w:val="21"/>
      <w:szCs w:val="21"/>
      <w:lang w:bidi="ar-SA"/>
    </w:rPr>
  </w:style>
  <w:style w:type="paragraph" w:customStyle="1" w:styleId="40">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paragraph" w:customStyle="1" w:styleId="41">
    <w:name w:val="TOC 标题1"/>
    <w:basedOn w:val="3"/>
    <w:next w:val="1"/>
    <w:unhideWhenUsed/>
    <w:qFormat/>
    <w:uiPriority w:val="39"/>
    <w:pPr>
      <w:widowControl/>
      <w:spacing w:before="480" w:after="0" w:line="276" w:lineRule="auto"/>
      <w:jc w:val="left"/>
      <w:outlineLvl w:val="9"/>
    </w:pPr>
    <w:rPr>
      <w:rFonts w:ascii="Cambria" w:hAnsi="Cambria"/>
      <w:color w:val="365F91"/>
      <w:kern w:val="0"/>
      <w:sz w:val="28"/>
      <w:szCs w:val="28"/>
    </w:rPr>
  </w:style>
  <w:style w:type="character" w:customStyle="1" w:styleId="42">
    <w:name w:val="标题 2 字符"/>
    <w:basedOn w:val="30"/>
    <w:link w:val="2"/>
    <w:qFormat/>
    <w:uiPriority w:val="9"/>
    <w:rPr>
      <w:rFonts w:ascii="Cambria" w:hAnsi="Cambria" w:eastAsia="楷体" w:cs="Times New Roman"/>
      <w:b/>
      <w:bCs/>
      <w:sz w:val="36"/>
      <w:szCs w:val="32"/>
      <w:lang w:val="en-US" w:eastAsia="zh-CN" w:bidi="ar-SA"/>
    </w:rPr>
  </w:style>
  <w:style w:type="character" w:customStyle="1" w:styleId="43">
    <w:name w:val="标题 1 字符"/>
    <w:basedOn w:val="30"/>
    <w:link w:val="3"/>
    <w:qFormat/>
    <w:uiPriority w:val="9"/>
    <w:rPr>
      <w:rFonts w:ascii="Times New Roman" w:hAnsi="Times New Roman" w:eastAsia="宋体" w:cs="Times New Roman"/>
      <w:b/>
      <w:bCs/>
      <w:kern w:val="44"/>
      <w:sz w:val="44"/>
      <w:szCs w:val="44"/>
      <w:lang w:val="en-US" w:eastAsia="zh-CN" w:bidi="ar-SA"/>
    </w:rPr>
  </w:style>
  <w:style w:type="character" w:customStyle="1" w:styleId="44">
    <w:name w:val="标题 3 字符"/>
    <w:basedOn w:val="30"/>
    <w:link w:val="4"/>
    <w:qFormat/>
    <w:uiPriority w:val="0"/>
    <w:rPr>
      <w:rFonts w:ascii="Times New Roman" w:hAnsi="Times New Roman" w:eastAsia="宋体" w:cs="Times New Roman"/>
      <w:b/>
      <w:bCs/>
      <w:szCs w:val="32"/>
      <w:lang w:val="en-US" w:eastAsia="zh-CN" w:bidi="ar-SA"/>
    </w:rPr>
  </w:style>
  <w:style w:type="character" w:customStyle="1" w:styleId="45">
    <w:name w:val="标题 4 字符"/>
    <w:basedOn w:val="30"/>
    <w:link w:val="5"/>
    <w:qFormat/>
    <w:uiPriority w:val="9"/>
    <w:rPr>
      <w:rFonts w:ascii="Cambria" w:hAnsi="Cambria" w:eastAsia="宋体" w:cs="Times New Roman"/>
      <w:b/>
      <w:bCs/>
      <w:szCs w:val="28"/>
      <w:lang w:val="en-US" w:eastAsia="zh-CN" w:bidi="ar-SA"/>
    </w:rPr>
  </w:style>
  <w:style w:type="character" w:customStyle="1" w:styleId="46">
    <w:name w:val="标题 5 字符"/>
    <w:basedOn w:val="30"/>
    <w:link w:val="6"/>
    <w:semiHidden/>
    <w:qFormat/>
    <w:uiPriority w:val="9"/>
    <w:rPr>
      <w:rFonts w:ascii="Times New Roman" w:hAnsi="Times New Roman" w:eastAsia="宋体" w:cs="Times New Roman"/>
      <w:b/>
      <w:bCs/>
      <w:sz w:val="28"/>
      <w:szCs w:val="28"/>
      <w:lang w:val="en-US" w:eastAsia="zh-CN" w:bidi="ar-SA"/>
    </w:rPr>
  </w:style>
  <w:style w:type="character" w:customStyle="1" w:styleId="47">
    <w:name w:val="文档结构图 字符"/>
    <w:basedOn w:val="30"/>
    <w:link w:val="9"/>
    <w:semiHidden/>
    <w:qFormat/>
    <w:uiPriority w:val="99"/>
    <w:rPr>
      <w:rFonts w:ascii="宋体" w:hAnsi="Times New Roman" w:eastAsia="宋体" w:cs="Times New Roman"/>
      <w:sz w:val="18"/>
      <w:szCs w:val="18"/>
      <w:lang w:val="en-US" w:eastAsia="zh-CN" w:bidi="ar-SA"/>
    </w:rPr>
  </w:style>
  <w:style w:type="character" w:customStyle="1" w:styleId="48">
    <w:name w:val="批注文字 字符"/>
    <w:basedOn w:val="30"/>
    <w:link w:val="10"/>
    <w:qFormat/>
    <w:uiPriority w:val="99"/>
    <w:rPr>
      <w:rFonts w:ascii="Times New Roman" w:hAnsi="Times New Roman" w:eastAsia="宋体" w:cs="Times New Roman"/>
      <w:lang w:val="en-US" w:eastAsia="zh-CN" w:bidi="ar-SA"/>
    </w:rPr>
  </w:style>
  <w:style w:type="character" w:customStyle="1" w:styleId="49">
    <w:name w:val="正文文本 字符"/>
    <w:basedOn w:val="30"/>
    <w:link w:val="11"/>
    <w:qFormat/>
    <w:uiPriority w:val="0"/>
    <w:rPr>
      <w:rFonts w:ascii="Calibri" w:hAnsi="Calibri" w:eastAsia="仿宋_GB2312" w:cs="Times New Roman"/>
      <w:szCs w:val="24"/>
      <w:lang w:val="en-US" w:eastAsia="zh-CN" w:bidi="ar-SA"/>
    </w:rPr>
  </w:style>
  <w:style w:type="character" w:customStyle="1" w:styleId="50">
    <w:name w:val=" Char Char2"/>
    <w:basedOn w:val="30"/>
    <w:link w:val="15"/>
    <w:uiPriority w:val="0"/>
    <w:rPr>
      <w:rFonts w:ascii="仿宋_GB2312" w:hAnsi="Times New Roman" w:eastAsia="仿宋_GB2312" w:cs="Times New Roman"/>
      <w:kern w:val="2"/>
      <w:sz w:val="32"/>
      <w:szCs w:val="24"/>
      <w:lang w:bidi="ar-SA"/>
    </w:rPr>
  </w:style>
  <w:style w:type="character" w:customStyle="1" w:styleId="51">
    <w:name w:val="正文文本缩进 2 字符"/>
    <w:basedOn w:val="30"/>
    <w:link w:val="16"/>
    <w:qFormat/>
    <w:uiPriority w:val="0"/>
    <w:rPr>
      <w:rFonts w:ascii="Times New Roman" w:hAnsi="Times New Roman" w:eastAsia="宋体" w:cs="Times New Roman"/>
      <w:szCs w:val="24"/>
      <w:lang w:val="en-US" w:eastAsia="zh-CN" w:bidi="ar-SA"/>
    </w:rPr>
  </w:style>
  <w:style w:type="character" w:customStyle="1" w:styleId="52">
    <w:name w:val="批注框文本 字符"/>
    <w:basedOn w:val="30"/>
    <w:link w:val="17"/>
    <w:semiHidden/>
    <w:qFormat/>
    <w:uiPriority w:val="99"/>
    <w:rPr>
      <w:rFonts w:ascii="Times New Roman" w:hAnsi="Times New Roman" w:eastAsia="宋体" w:cs="Times New Roman"/>
      <w:sz w:val="18"/>
      <w:szCs w:val="18"/>
      <w:lang w:val="en-US" w:eastAsia="zh-CN" w:bidi="ar-SA"/>
    </w:rPr>
  </w:style>
  <w:style w:type="character" w:customStyle="1" w:styleId="53">
    <w:name w:val="页脚 字符"/>
    <w:basedOn w:val="30"/>
    <w:link w:val="18"/>
    <w:qFormat/>
    <w:uiPriority w:val="99"/>
    <w:rPr>
      <w:rFonts w:ascii="Calibri" w:hAnsi="Calibri" w:eastAsia="宋体" w:cs="Times New Roman"/>
      <w:sz w:val="18"/>
      <w:szCs w:val="18"/>
      <w:lang w:val="en-US" w:eastAsia="zh-CN" w:bidi="ar-SA"/>
    </w:rPr>
  </w:style>
  <w:style w:type="character" w:customStyle="1" w:styleId="54">
    <w:name w:val="页眉 字符"/>
    <w:basedOn w:val="30"/>
    <w:link w:val="19"/>
    <w:qFormat/>
    <w:uiPriority w:val="99"/>
    <w:rPr>
      <w:rFonts w:ascii="Calibri" w:hAnsi="Calibri" w:eastAsia="宋体" w:cs="Times New Roman"/>
      <w:sz w:val="18"/>
      <w:szCs w:val="18"/>
      <w:lang w:val="en-US" w:eastAsia="zh-CN" w:bidi="ar-SA"/>
    </w:rPr>
  </w:style>
  <w:style w:type="character" w:customStyle="1" w:styleId="55">
    <w:name w:val="副标题 字符"/>
    <w:basedOn w:val="30"/>
    <w:link w:val="22"/>
    <w:qFormat/>
    <w:uiPriority w:val="11"/>
    <w:rPr>
      <w:rFonts w:ascii="Calibri Light" w:hAnsi="Calibri Light" w:eastAsia="宋体" w:cs="Times New Roman"/>
      <w:b/>
      <w:bCs/>
      <w:kern w:val="28"/>
      <w:szCs w:val="32"/>
      <w:lang w:val="en-US" w:eastAsia="zh-CN" w:bidi="ar-SA"/>
    </w:rPr>
  </w:style>
  <w:style w:type="character" w:customStyle="1" w:styleId="56">
    <w:name w:val="批注主题 字符"/>
    <w:basedOn w:val="48"/>
    <w:link w:val="27"/>
    <w:semiHidden/>
    <w:qFormat/>
    <w:uiPriority w:val="99"/>
    <w:rPr>
      <w:b/>
      <w:bCs/>
    </w:rPr>
  </w:style>
  <w:style w:type="character" w:customStyle="1" w:styleId="57">
    <w:name w:val=" Char Char1"/>
    <w:basedOn w:val="30"/>
    <w:semiHidden/>
    <w:uiPriority w:val="99"/>
    <w:rPr>
      <w:rFonts w:ascii="Times New Roman" w:hAnsi="Times New Roman" w:eastAsia="宋体" w:cs="Times New Roman"/>
      <w:kern w:val="2"/>
      <w:sz w:val="18"/>
      <w:szCs w:val="22"/>
    </w:rPr>
  </w:style>
  <w:style w:type="character" w:customStyle="1" w:styleId="58">
    <w:name w:val="副标题 字符1"/>
    <w:basedOn w:val="30"/>
    <w:qFormat/>
    <w:uiPriority w:val="11"/>
    <w:rPr>
      <w:rFonts w:ascii="Times New Roman" w:hAnsi="Times New Roman" w:eastAsia="宋体" w:cs="Times New Roman"/>
      <w:b/>
      <w:bCs/>
      <w:kern w:val="28"/>
      <w:sz w:val="32"/>
      <w:szCs w:val="32"/>
      <w:lang w:val="en-US" w:eastAsia="zh-CN" w:bidi="ar-SA"/>
    </w:rPr>
  </w:style>
  <w:style w:type="character" w:customStyle="1" w:styleId="59">
    <w:name w:val=" Char Char"/>
    <w:basedOn w:val="30"/>
    <w:semiHidden/>
    <w:uiPriority w:val="99"/>
    <w:rPr>
      <w:rFonts w:ascii="Times New Roman" w:hAnsi="Times New Roman" w:eastAsia="宋体" w:cs="Times New Roman"/>
      <w:kern w:val="2"/>
      <w:sz w:val="18"/>
      <w:szCs w:val="22"/>
    </w:rPr>
  </w:style>
  <w:style w:type="character" w:customStyle="1" w:styleId="60">
    <w:name w:val="未处理的提及1"/>
    <w:basedOn w:val="30"/>
    <w:unhideWhenUsed/>
    <w:qFormat/>
    <w:uiPriority w:val="99"/>
    <w:rPr>
      <w:rFonts w:ascii="Times New Roman" w:hAnsi="Times New Roman" w:eastAsia="宋体" w:cs="Times New Roman"/>
      <w:color w:val="605E5C"/>
      <w:shd w:val="clear" w:color="auto" w:fill="E1DFDD"/>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customXml" Target="../customXml/item1.xml"/><Relationship Id="rId23" Type="http://schemas.openxmlformats.org/officeDocument/2006/relationships/image" Target="media/image1.tiff"/><Relationship Id="rId22" Type="http://schemas.openxmlformats.org/officeDocument/2006/relationships/image" Target="media/image9.jpeg"/><Relationship Id="rId21" Type="http://schemas.openxmlformats.org/officeDocument/2006/relationships/image" Target="media/image8.jpe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jpeg"/><Relationship Id="rId18" Type="http://schemas.openxmlformats.org/officeDocument/2006/relationships/image" Target="media/image5.jpeg"/><Relationship Id="rId17" Type="http://schemas.openxmlformats.org/officeDocument/2006/relationships/image" Target="media/image4.jpeg"/><Relationship Id="rId16" Type="http://schemas.openxmlformats.org/officeDocument/2006/relationships/image" Target="media/image3.jpeg"/><Relationship Id="rId15" Type="http://schemas.openxmlformats.org/officeDocument/2006/relationships/image" Target="media/image2.jpe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header" Target="header5.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wdzx97.dot</Template>
  <Company>Lenovo (Beijing) Limited</Company>
  <Pages>45</Pages>
  <Words>17444</Words>
  <Characters>18380</Characters>
  <Lines>1</Lines>
  <Paragraphs>1</Paragraphs>
  <TotalTime>53</TotalTime>
  <ScaleCrop>false</ScaleCrop>
  <LinksUpToDate>false</LinksUpToDate>
  <CharactersWithSpaces>18559</CharactersWithSpaces>
  <Application>WPS Office_11.8.2.8621_F1E327BC-269C-435d-A152-05C5408002CA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2012-09-19T12:59:00Z</dcterms:created>
  <dc:creator>阿拉善盟行政公署:打印</dc:creator>
  <cp:lastModifiedBy>zwfw</cp:lastModifiedBy>
  <dcterms:modified xsi:type="dcterms:W3CDTF">2023-12-29T03:53:22Z</dcterms:modified>
  <dc:title>_x0001_</dc:title>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2052-11.8.2.8621</vt:lpwstr>
  </property>
</Properties>
</file>